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ElektroG 2015 — Organisation der Gemeinsamen Stelle</w:t>
      </w:r>
    </w:p>
    <w:p>
      <w:r>
        <w:rPr>
          <w:color w:val="555555"/>
          <w:sz w:val="18"/>
        </w:rPr>
        <w:t xml:space="preserve">Elektro- und Elektronikgerätegesetz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Gemeinsame Stelle muss durch Satzung, Gesellschaftsvertrag oder sonstige Regelung</w:t>
      </w:r>
    </w:p>
    <w:p>
      <w:pPr>
        <w:ind w:left="420"/>
      </w:pPr>
      <w:r>
        <w:t xml:space="preserve">1. ihre in § 31 Absatz 1 Satz 2 und Absatz 2, 5 bis 7 und § 32 Absatz 1, 2 und 3 genannten Aufgaben verbindlich festlegen,</w:t>
      </w:r>
    </w:p>
    <w:p>
      <w:pPr>
        <w:ind w:left="420"/>
      </w:pPr>
      <w:r>
        <w:t xml:space="preserve">2. ihre Organisation und Ausstattung so ausgestalten, dass eine ordnungsgemäße Erfüllung ihrer Aufgaben sichergestellt ist,</w:t>
      </w:r>
    </w:p>
    <w:p>
      <w:pPr>
        <w:ind w:left="420"/>
      </w:pPr>
      <w:r>
        <w:t xml:space="preserve">3. gewährleisten, dass sie für alle Hersteller oder im Fall der Bevollmächtigung nach § 8 für deren Bevollmächtigte zu gleichen Bedingungen zugänglich ist und alle Hersteller oder im Fall der Bevollmächtigung nach § 8 deren Bevollmächtigte an der internen Regelsetzung mitwirken können, und</w:t>
      </w:r>
    </w:p>
    <w:p>
      <w:pPr>
        <w:ind w:left="420"/>
      </w:pPr>
      <w:r>
        <w:t xml:space="preserve">4. gewährleisten, dass die Vorschriften zum Schutz personenbezogener Daten sowie von Betriebs- und Geschäftsgeheimnissen eingehalten werden.</w:t>
      </w:r>
    </w:p>
    <w:p>
      <w:r>
        <w:t xml:space="preserve">Die Satzung, der Gesellschaftsvertrag oder die sonstige Regelung ist im Internet zu veröffentlichen.</w:t>
      </w:r>
    </w:p>
    <w:p>
      <w:r>
        <w:t xml:space="preserve">(2) Die Gemeinsame Stelle richtet einen Beirat ein. Dem Beirat müssen Vertreter der Hersteller, im Fall der Bevollmächtigung nach § 8 der Bevollmächtigten, der Vertreiber, der öffentlich-rechtlichen Entsorgungsträger, des Bundes und der Länder sowie der Entsorgungswirtschaft und der Umwelt- und Verbraucherschutzverbände angehören. Der Beirat gibt sich eine Geschäftsordnung.</w:t>
      </w:r>
    </w:p>
    <w:p>
      <w:r>
        <w:rPr>
          <w:color w:val="555555"/>
          <w:sz w:val="17"/>
        </w:rPr>
        <w:t xml:space="preserve">Zitiervorschlag: § 35 ElektroG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https://recht.nulegal.eu/gesetze/ElektroG%202015/35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