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ElektroG 2015 — Mitteilungspflichten der Betreiber von Erstbehandlungsanlagen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Jeder Betreiber einer Erstbehandlungsanlage hat im Fall der Rücknahme nach § 17a, der Übernahme nach § 17b und der Entsorgung im Auftrag von Endnutzern nach § 19 Absatz 2 Satz 2 der Gemeinsamen Stelle bis zum Ablauf des 30. April des folgenden Kalenderjahres Folgendes gemäß den Sätzen 2 und 3 mitzuteilen:</w:t>
      </w:r>
    </w:p>
    <w:p>
      <w:pPr>
        <w:ind w:left="420"/>
      </w:pPr>
      <w:r>
        <w:t xml:space="preserve">1. die von ihm je Kategorie im Kalenderjahr angenommenen Altgeräte,</w:t>
      </w:r>
    </w:p>
    <w:p>
      <w:pPr>
        <w:ind w:left="420"/>
      </w:pPr>
      <w:r>
        <w:t xml:space="preserve">2. die von ihm je Kategorie im Kalenderjahr zur Wiederverwendung vorbereiteten Altgeräte,</w:t>
      </w:r>
    </w:p>
    <w:p>
      <w:pPr>
        <w:ind w:left="420"/>
      </w:pPr>
      <w:r>
        <w:t xml:space="preserve">3. die von ihm je Kategorie im Kalenderjahr recycelten Altgeräte,</w:t>
      </w:r>
    </w:p>
    <w:p>
      <w:pPr>
        <w:ind w:left="420"/>
      </w:pPr>
      <w:r>
        <w:t xml:space="preserve">4. die von ihm je Kategorie im Kalenderjahr verwerteten Altgeräte,</w:t>
      </w:r>
    </w:p>
    <w:p>
      <w:pPr>
        <w:ind w:left="420"/>
      </w:pPr>
      <w:r>
        <w:t xml:space="preserve">5. die von ihm je Kategorie im Kalenderjahr beseitigten Altgeräte und</w:t>
      </w:r>
    </w:p>
    <w:p>
      <w:pPr>
        <w:ind w:left="420"/>
      </w:pPr>
      <w:r>
        <w:t xml:space="preserve">6. die von ihm je Kategorie im Kalenderjahr in Länder der Europäischen Union oder in Drittstaaten zur Behandlung ausgeführten Altgeräte.</w:t>
      </w:r>
    </w:p>
    <w:p>
      <w:r>
        <w:t xml:space="preserve">Bei diesen Mitteilungen sind in den Kategorien 4 und 5 Photovoltaikmodule und andere Altgeräte gesondert auszuweisen. Die Mitteilungen nach Satz 1 sind nach den jeweiligen Rücknahme-, Übernahme- und Entsorgungswegen nach Satz 1 zu trennen. Die Mitteilungen müssen die Formatvorgaben der Gemeinsamen Stelle gemäß § 33 Absatz 1 Satz 4 erfüllen.</w:t>
      </w:r>
    </w:p>
    <w:p>
      <w:r>
        <w:t xml:space="preserve">(2) Bei den Mitteilungen nach Absatz 1 ist das Gewicht anzugeben. Soweit das nicht möglich ist, genügt eine fundierte Schätzung. Die Gemeinsame Stelle kann verlangen, dass die Angaben nach Absatz 1 durch einen unabhängigen Sachverständigen innerhalb einer angemessenen Frist bestätigt werden. Sie ist berechtigt, für diese Bestätigung die Prüfkriterien festzulegen.</w:t>
      </w:r>
    </w:p>
    <w:p>
      <w:r>
        <w:t xml:space="preserve">(3) Ist die Gemeinsame Stelle nicht eingerichtet, teilt die Erstbehandlungsanlage die Daten nach den Absätzen 1 und 2 der zuständigen Behörde mit.</w:t>
      </w:r>
    </w:p>
    <w:p>
      <w:r>
        <w:rPr>
          <w:color w:val="555555"/>
          <w:sz w:val="17"/>
        </w:rPr>
        <w:t xml:space="preserve">Zitiervorschlag: § 30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