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ElektroG 2015 — Begriffsbestimmungen</w:t>
      </w:r>
    </w:p>
    <w:p>
      <w:r>
        <w:rPr>
          <w:color w:val="555555"/>
          <w:sz w:val="18"/>
        </w:rPr>
        <w:t xml:space="preserve">Elektro- und Elektronikgerätegesetz</w:t>
      </w:r>
    </w:p>
    <w:p>
      <w:r>
        <w:rPr>
          <w:color w:val="555555"/>
          <w:sz w:val="18"/>
        </w:rPr>
        <w:t xml:space="preserve">Stand: 01.01.2026 (konsolidierte Textfassung, kein amtliches Inkrafttretensdatum)</w:t>
      </w:r>
    </w:p>
    <w:p>
      <w:r>
        <w:t xml:space="preserve">Im Sinne dieses Gesetzes sind</w:t>
      </w:r>
    </w:p>
    <w:p>
      <w:pPr>
        <w:ind w:left="420"/>
      </w:pPr>
      <w:r>
        <w:t xml:space="preserve">1. Elektro- und Elektronikgeräte:Geräte, die für den Betrieb mit Wechselspannung von höchstens 1 000 Volt oder Gleichspannung von höchstens 1 500 Volt ausgelegt sind und</w:t>
      </w:r>
    </w:p>
    <w:p>
      <w:pPr>
        <w:ind w:left="780"/>
      </w:pPr>
      <w:r>
        <w:t xml:space="preserve">a) zu ihrem ordnungsgemäßen Betrieb von elektrischen Strömen oder elektromagnetischen Feldern abhängig sind oder</w:t>
      </w:r>
    </w:p>
    <w:p>
      <w:pPr>
        <w:ind w:left="780"/>
      </w:pPr>
      <w:r>
        <w:t xml:space="preserve">b) der Erzeugung, Übertragung und Messung von elektrischen Strömen und elektromagnetischen Feldern dienen;</w:t>
      </w:r>
    </w:p>
    <w:p>
      <w:pPr>
        <w:ind w:left="420"/>
      </w:pPr>
      <w:r>
        <w:t xml:space="preserve">2. Geräteart:Zusammenfassung von Geräten innerhalb einer Kategorie, die hinsichtlich der Art ihrer Nutzung oder ihrer Funktionen vergleichbare Merkmale aufweisen;</w:t>
      </w:r>
    </w:p>
    <w:p>
      <w:pPr>
        <w:ind w:left="420"/>
      </w:pPr>
      <w:r>
        <w:t xml:space="preserve">3. Altgeräte:Elektro- und Elektronikgeräte, die Abfall im Sinne des § 3 Absatz 1 Satz 1 des Kreislaufwirtschaftsgesetzes sind, einschließlich aller Bauteile, Unterbaugruppen und Verbrauchsmaterialien, die zum Zeitpunkt des Eintritts der Abfalleigenschaft Teil des Altgerätes sind;</w:t>
      </w:r>
    </w:p>
    <w:p>
      <w:pPr>
        <w:ind w:left="420"/>
      </w:pPr>
      <w:r>
        <w:t xml:space="preserve">4. historische Altgeräte:</w:t>
      </w:r>
    </w:p>
    <w:p>
      <w:pPr>
        <w:ind w:left="780"/>
      </w:pPr>
      <w:r>
        <w:t xml:space="preserve">a) Altgeräte, die vor dem 13. August 2005 in Verkehr gebracht wurden,</w:t>
      </w:r>
    </w:p>
    <w:p>
      <w:pPr>
        <w:ind w:left="780"/>
      </w:pPr>
      <w:r>
        <w:t xml:space="preserve">b) Leuchten aus privaten Haushalten und Photovoltaikmodule, die Altgeräte sind und vor dem 24. Oktober 2015 in Verkehr gebracht wurden, oder</w:t>
      </w:r>
    </w:p>
    <w:p>
      <w:pPr>
        <w:ind w:left="780"/>
      </w:pPr>
      <w:r>
        <w:t xml:space="preserve">c) Altgeräte, die vor dem 15. August 2018 in Verkehr gebracht wurden, soweit sie vom Anwendungsbereich dieses Gesetzes in der Fassung vom 20. Oktober 2015 nicht erfasst waren;</w:t>
      </w:r>
    </w:p>
    <w:p>
      <w:pPr>
        <w:ind w:left="420"/>
      </w:pPr>
      <w:r>
        <w:t xml:space="preserve">5. Altgeräte aus privaten Haushalten:Altgeräte aus privaten Haushaltungen im Sinne des Kreislaufwirtschaftsgesetzes sowie Altgeräte aus sonstigen Herkunftsbereichen, soweit die Beschaffenheit und Menge der dort anfallenden Altgeräte mit der Beschaffenheit und Menge von üblicherweise in privaten Haushaltungen anfallenden Altgeräten vergleichbar ist; Elektro- und Elektronikgeräte, die potentiell sowohl von privaten Haushalten als auch von anderen Nutzern als privaten Haushalten genutzt werden, gelten, wenn sie Abfall werden, als Altgeräte aus privaten Haushalten;</w:t>
      </w:r>
    </w:p>
    <w:p>
      <w:pPr>
        <w:ind w:left="420"/>
      </w:pPr>
      <w:r>
        <w:t xml:space="preserve">6. Anbieten:das im Rahmen einer gewerbsmäßigen Tätigkeit auf den Abschluss eines Kaufvertrages gerichtete Präsentieren oder öffentliche Zugänglichmachen von Elektro- oder Elektronikgeräten im Geltungsbereich dieses Gesetzes; dies umfasst auch die Aufforderung, ein Angebot abzugeben;</w:t>
      </w:r>
    </w:p>
    <w:p>
      <w:pPr>
        <w:ind w:left="420"/>
      </w:pPr>
      <w:r>
        <w:t xml:space="preserve">7. Bereitstellung auf dem Markt:jede entgeltliche oder unentgeltliche Abgabe eines Elektro- oder Elektronikgerätes zum Vertrieb, Verbrauch oder zur Verwendung im Geltungsbereich dieses Gesetzes im Rahmen einer Geschäftstätigkeit;</w:t>
      </w:r>
    </w:p>
    <w:p>
      <w:pPr>
        <w:ind w:left="420"/>
      </w:pPr>
      <w:r>
        <w:t xml:space="preserve">8. Inverkehrbringen:die erstmalige Bereitstellung eines Elektro- oder Elektronikgerätes auf dem Markt im Geltungsbereich dieses Gesetzes; als Inverkehrbringen gilt auch die erste Wiederbereitstellung eines Elektro- oder Elektronikgerätes auf dem Markt im Geltungsbereich dieses Gesetzes, das nach der erstmaligen Bereitstellung auf dem Markt aus dem Geltungsbereich des Gesetzes ausgeführt worden war;</w:t>
      </w:r>
    </w:p>
    <w:p>
      <w:pPr>
        <w:ind w:left="420"/>
      </w:pPr>
      <w:r>
        <w:t xml:space="preserve">9. Hersteller:jede natürliche oder juristische Person oder rechtsfähige Personengesellschaft, die unabhängig von der Verkaufsmethode, einschließlich der Fernkommunikationsmittel im Sinne des § 312c Absatz 2 des Bürgerlichen Gesetzbuchs,</w:t>
      </w:r>
    </w:p>
    <w:p>
      <w:pPr>
        <w:ind w:left="780"/>
      </w:pPr>
      <w:r>
        <w:t xml:space="preserve">a) Elektro- oder Elektronikgeräte</w:t>
      </w:r>
    </w:p>
    <w:p>
      <w:pPr>
        <w:ind w:left="1140"/>
      </w:pPr>
      <w:r>
        <w:t xml:space="preserve">aa) unter ihrem Namen oder ihrer Marke herstellt und innerhalb des Geltungsbereiches dieses Gesetzes anbietet oder</w:t>
      </w:r>
    </w:p>
    <w:p>
      <w:pPr>
        <w:ind w:left="1140"/>
      </w:pPr>
      <w:r>
        <w:t xml:space="preserve">bb) konzipieren oder herstellen lässt und sie unter ihrem Namen oder ihrer Marke innerhalb des Geltungsbereiches dieses Gesetzes anbietet,</w:t>
      </w:r>
    </w:p>
    <w:p>
      <w:pPr>
        <w:ind w:left="780"/>
      </w:pPr>
      <w:r>
        <w:t xml:space="preserve">b) Elektro- oder Elektronikgeräte anderer Hersteller unter ihrem eigenen Namen oder ihrer Marke im Geltungsbereich dieses Gesetzes anbietet oder gewerbsmäßig weiterverkauft, wobei der Anbieter oder Weiterverkäufer dann nicht als Hersteller anzusehen ist, wenn der Name oder die Marke des Herstellers gemäß Buchstabe a auf dem Gerät erscheint,</w:t>
      </w:r>
    </w:p>
    <w:p>
      <w:pPr>
        <w:ind w:left="780"/>
      </w:pPr>
      <w:r>
        <w:t xml:space="preserve">c) erstmals aus einem anderen Mitgliedstaat der Europäischen Union oder aus einem Drittland stammende Elektro- oder Elektronikgeräte auf dem Markt im Geltungsbereich dieses Gesetzes anbietet oder</w:t>
      </w:r>
    </w:p>
    <w:p>
      <w:pPr>
        <w:ind w:left="780"/>
      </w:pPr>
      <w:r>
        <w:t xml:space="preserve">d) Elektro- oder Elektronikgeräte unter Verwendung von Fernkommunikationsmitteln direkt Endnutzern im Geltungsbereich dieses Gesetzes anbietet und in einem anderen Mitgliedstaat der Europäischen Union oder einem Drittland niedergelassen ist;</w:t>
      </w:r>
    </w:p>
    <w:p>
      <w:pPr>
        <w:ind w:left="420"/>
      </w:pPr>
      <w:r>
        <w:t xml:space="preserve">als Hersteller gilt zugleich auch jeder Vertreiber nach Nummer 11, der entgegen § 6 Absatz 2 Satz 2 Nummer 1 vorsätzlich oder fahrlässig neue Elektro- oder Elektronikgeräte nicht oder nicht ordnungsgemäß registrierter Hersteller oder von Herstellern, deren Bevollmächtigte nicht oder nicht ordnungsgemäß registriert sind, zum Verkauf anbietet; in diesem Fall gilt abweichend von Nummer 8 die Bereitstellung als Inverkehrbringen; Nummer 11 bleibt unberührt;</w:t>
      </w:r>
    </w:p>
    <w:p>
      <w:pPr>
        <w:ind w:left="420"/>
      </w:pPr>
      <w:r>
        <w:t xml:space="preserve">10. Bevollmächtigter:jede im Geltungsbereich dieses Gesetzes niedergelassene natürliche oder juristische Person oder rechtsfähige Personengesellschaft, die ein Hersteller ohne Niederlassung im Geltungsbereich dieses Gesetzes beauftragt hat, in eigenem Namen sämtliche Aufgaben wahrzunehmen, um die Herstellerpflichten nach diesem Gesetz zu erfüllen; Bevollmächtigter kann auch ein Hersteller nach Nummer 9 Buchstabe c oder ein Vertreiber nach Nummer 11, ein Betreiber eines elektronischen Marktplatzes nach Nummer 11b oder ein Fulfilment-Dienstleister nach Nummer 11c sein, sofern die Voraussetzungen nach dem ersten Halbsatz vorliegen;</w:t>
      </w:r>
    </w:p>
    <w:p>
      <w:pPr>
        <w:ind w:left="420"/>
      </w:pPr>
      <w:r>
        <w:t xml:space="preserve">11. Vertreiber:jede natürliche oder juristische Person oder rechtsfähige Personengesellschaft, die Elektro- oder Elektronikgeräte im Geltungsbereich dieses Gesetzes anbietet oder auf dem Markt bereitstellt;</w:t>
      </w:r>
    </w:p>
    <w:p>
      <w:pPr>
        <w:ind w:left="420"/>
      </w:pPr>
      <w:r>
        <w:t xml:space="preserve">11a. elektronischer Marktplatz:eine Website oder jedes andere Instrument, mit dessen Hilfe Informationen über das Internet zur Verfügung gestellt werden, die oder das es Herstellern oder Vertreibern, die nicht Betreiber des elektronischen Marktplatzes sind, ermöglicht, Elektro- und Elektronikgeräte in eigenem Namen im Geltungsbereich dieses Gesetzes anzubieten oder bereitzustellen;</w:t>
      </w:r>
    </w:p>
    <w:p>
      <w:pPr>
        <w:ind w:left="420"/>
      </w:pPr>
      <w:r>
        <w:t xml:space="preserve">11b. Betreiber eines elektronischen Marktplatzes:jede natürliche oder juristische Person oder Personengesellschaft, die einen elektronischen Marktplatz unterhält und es Dritten ermöglicht, auf diesem Marktplatz Elektro- und Elektronikgeräte im Geltungsbereich dieses Gesetzes anzubieten oder bereitzustellen;</w:t>
      </w:r>
    </w:p>
    <w:p>
      <w:pPr>
        <w:ind w:left="420"/>
      </w:pPr>
      <w:r>
        <w:t xml:space="preserve">11c. Fulfilment-Dienstleister:jede natürliche oder juristische Person oder Personengesellschaft, die im Rahmen einer Geschäftstätigkeit mindestens zwei der folgenden Dienstleistungen im Geltungsbereich dieses Gesetzes anbietet: Lagerhaltung, Verpackung, Adressierung oder Versand von Elektro- oder Elektronikgeräten, an denen sie kein Eigentumsrecht hat; Post-, Paketzustell- oder sonstige Frachtverkehrsdienstleister gelten nicht als Fulfilment-Dienstleister;</w:t>
      </w:r>
    </w:p>
    <w:p>
      <w:pPr>
        <w:ind w:left="420"/>
      </w:pPr>
      <w:r>
        <w:t xml:space="preserve">11d. Lager- und Versandfläche:alle im In- oder Ausland gelegenen Flächen, die genutzt werden, um beim Vertrieb unter Verwendung von Fernkommunikationsmitteln den Verkaufsprozess durch Lagerung, Kommissionierung oder Verpacken der Elektro- und Elektronikgeräte für den Endnutzer zu ermöglichen oder zu unterstützen; zur Lagerfläche gehört, unabhängig von der Regalgrundfläche, die gesamte Fläche der einzelnen Regalböden;</w:t>
      </w:r>
    </w:p>
    <w:p>
      <w:pPr>
        <w:ind w:left="420"/>
      </w:pPr>
      <w:r>
        <w:t xml:space="preserve">12. öffentlich-rechtlicher Entsorgungsträger:die nach Landesrecht zur Entsorgung verpflichtete juristische Person;</w:t>
      </w:r>
    </w:p>
    <w:p>
      <w:pPr>
        <w:ind w:left="420"/>
      </w:pPr>
      <w:r>
        <w:t xml:space="preserve">13. Photovoltaikmodule:elektrische Vorrichtungen, die zur Verwendung in einem System bestimmt sind und zur Erzeugung von Strom aus solarer Strahlungsenergie entworfen, zusammengesetzt und installiert werden;</w:t>
      </w:r>
    </w:p>
    <w:p>
      <w:pPr>
        <w:ind w:left="420"/>
      </w:pPr>
      <w:r>
        <w:t xml:space="preserve">14. Lampen:Einrichtungen zur Erzeugung von Licht;</w:t>
      </w:r>
    </w:p>
    <w:p>
      <w:pPr>
        <w:ind w:left="420"/>
      </w:pPr>
      <w:r>
        <w:t xml:space="preserve">15. Leuchten:Geräte zur Verteilung, Filterung oder Umwandlung des von einer oder mehreren Lampen übertragenen Lichts, die alle zur Aufnahme, zur Fixierung und zum Schutz der Lampen notwendigen Teile und erforderlichenfalls Hilfselemente zusammen mit den Vorrichtungen zu ihrem Anschluss an die Stromquelle umfassen; dazu gehören alle Lampen, sofern diese nicht entfernt werden können, ohne dass die Einheit dauerhaft beschädigt wird;</w:t>
      </w:r>
    </w:p>
    <w:p>
      <w:pPr>
        <w:ind w:left="420"/>
      </w:pPr>
      <w:r>
        <w:t xml:space="preserve">16. ortsfeste industrielle Großwerkzeuge:eine groß angelegte Anordnung von industriellen Maschinen, Geräten oder Bauteilen mit einer gemeinsamen Funktion für eine bestimmte Anwendung, die</w:t>
      </w:r>
    </w:p>
    <w:p>
      <w:pPr>
        <w:ind w:left="780"/>
      </w:pPr>
      <w:r>
        <w:t xml:space="preserve">a) von Fachpersonal dauerhaft an einem bestimmten Ort installiert und abgebaut wird und</w:t>
      </w:r>
    </w:p>
    <w:p>
      <w:pPr>
        <w:ind w:left="780"/>
      </w:pPr>
      <w:r>
        <w:t xml:space="preserve">b) von Fachpersonal in einer industriellen Fertigungsanlage oder einer Forschungs- und Entwicklungsanlage eingesetzt und instand gehalten wird;</w:t>
      </w:r>
    </w:p>
    <w:p>
      <w:pPr>
        <w:ind w:left="420"/>
      </w:pPr>
      <w:r>
        <w:t xml:space="preserve">17. ortsfeste Großanlagen:eine groß angelegte Kombination von Geräten unterschiedlicher Art und gegebenenfalls weiterer Einrichtungen, die</w:t>
      </w:r>
    </w:p>
    <w:p>
      <w:pPr>
        <w:ind w:left="780"/>
      </w:pPr>
      <w:r>
        <w:t xml:space="preserve">a) von Fachpersonal montiert, installiert und abgebaut wird,</w:t>
      </w:r>
    </w:p>
    <w:p>
      <w:pPr>
        <w:ind w:left="780"/>
      </w:pPr>
      <w:r>
        <w:t xml:space="preserve">b) dazu bestimmt ist, auf Dauer als Teil eines Gebäudes oder Bauwerks an einem vorbestimmten und eigens dafür vorgesehenen Standort betrieben zu werden, und</w:t>
      </w:r>
    </w:p>
    <w:p>
      <w:pPr>
        <w:ind w:left="780"/>
      </w:pPr>
      <w:r>
        <w:t xml:space="preserve">c) nur durch die gleichen, speziell konstruierten Geräte ersetzt werden kann;</w:t>
      </w:r>
    </w:p>
    <w:p>
      <w:pPr>
        <w:ind w:left="420"/>
      </w:pPr>
      <w:r>
        <w:t xml:space="preserve">18. bewegliche Maschinen:Maschinen mit eigener Energieversorgung, die</w:t>
      </w:r>
    </w:p>
    <w:p>
      <w:pPr>
        <w:ind w:left="780"/>
      </w:pPr>
      <w:r>
        <w:t xml:space="preserve">a) nicht für den Straßenverkehr bestimmt sind,</w:t>
      </w:r>
    </w:p>
    <w:p>
      <w:pPr>
        <w:ind w:left="780"/>
      </w:pPr>
      <w:r>
        <w:t xml:space="preserve">b) ausschließlich bei einer beruflichen Tätigkeit genutzt werden und</w:t>
      </w:r>
    </w:p>
    <w:p>
      <w:pPr>
        <w:ind w:left="780"/>
      </w:pPr>
      <w:r>
        <w:t xml:space="preserve">c) beim Betrieb entweder beweglich sein müssen oder kontinuierlich oder halbkontinuierlich zu verschiedenen festen Betriebsorten bewegt werden müssen;</w:t>
      </w:r>
    </w:p>
    <w:p>
      <w:pPr>
        <w:ind w:left="420"/>
      </w:pPr>
      <w:r>
        <w:t xml:space="preserve">19. medizinisches Gerät:ein Medizinprodukt im Sinne von Artikel 2 Nummer 1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 18) geändert worden ist, in der jeweils geltenden Fassung oder Zubehör eines Medizinproduktes im Sinne von Artikel 2 Nummer 2 der Verordnung (EU) 2017/745, das ein Elektro- oder Elektronikgerät ist;</w:t>
      </w:r>
    </w:p>
    <w:p>
      <w:pPr>
        <w:ind w:left="420"/>
      </w:pPr>
      <w:r>
        <w:t xml:space="preserve">20. In-vitro-Diagnostikum:ein In-vitro-Diagnostikum oder dessen Zubehör im Sinne von Artikel 2 Nummer 2 oder 4 der Verordnung (EU) 2017/746 des Europäischen Parlaments und des Rates vom 5. April 2017 über In-vitro-Diagnostika und zur Aufhebung der Richtlinie 98/79/EG und des Beschlusses 2010/227/EU der Kommission (ABl. L 117 vom 5.5.2017, S. 176; L 117 vom 3.5.2019, S. 11; L 334 vom 27.12.2019, S. 167) in der jeweils geltenden Fassung, das ein Elektro- oder Elektronikgerät ist;</w:t>
      </w:r>
    </w:p>
    <w:p>
      <w:pPr>
        <w:ind w:left="420"/>
      </w:pPr>
      <w:r>
        <w:t xml:space="preserve">21. aktives implantierbares medizinisches Gerät:ein aktives implantierbares Medizinprodukt im Sinne von Artikel 2 Nummer 4 und 5 der Verordnung (EU) 2017/745, das ein Elektro- oder Elektronikgerät ist;</w:t>
      </w:r>
    </w:p>
    <w:p>
      <w:pPr>
        <w:ind w:left="420"/>
      </w:pPr>
      <w:r>
        <w:t xml:space="preserve">21a. elektronische Zigarette:elektronische Zigarette nach Artikel 2 Nummer 16 Satz 1 der Richtlinie 2014/40 (EU);</w:t>
      </w:r>
    </w:p>
    <w:p>
      <w:pPr>
        <w:ind w:left="420"/>
      </w:pPr>
      <w:r>
        <w:t xml:space="preserve">21b. elektronischer Tabakerhitzer:ein elektronisches Heizsystem, das zum Erhitzen von neuartigen Tabakerzeugnissen im Sinne des Artikels 7 Absatz 12 Unterabsatz 2 der Richtlinie 2014/40/EU geeignet und bestimmt ist;</w:t>
      </w:r>
    </w:p>
    <w:p>
      <w:pPr>
        <w:ind w:left="420"/>
      </w:pPr>
      <w:r>
        <w:t xml:space="preserve">22. Erfassungdie Sammlung sowie die Rücknahme von Altgeräten;</w:t>
      </w:r>
    </w:p>
    <w:p>
      <w:pPr>
        <w:ind w:left="420"/>
      </w:pPr>
      <w:r>
        <w:t xml:space="preserve">23. Behandlung:Tätigkeiten, die nach der Übergabe von Altgeräten an eine Anlage zur Vorbereitung zur Wiederverwendung, zur Entfrachtung von Schadstoffen, zur Separierung von Wertstoffen, zur Demontage, zum Schreddern, zur Verwertung oder zur Vorbereitung der Beseitigung durchgeführt werden, sowie sonstige Tätigkeiten, die der Verwertung oder Beseitigung der Altgeräte dienen;</w:t>
      </w:r>
    </w:p>
    <w:p>
      <w:pPr>
        <w:ind w:left="420"/>
      </w:pPr>
      <w:r>
        <w:t xml:space="preserve">24. Erstbehandlung:die erste Behandlung von Altgeräten, bei der die Altgeräte</w:t>
      </w:r>
    </w:p>
    <w:p>
      <w:pPr>
        <w:ind w:left="780"/>
      </w:pPr>
      <w:r>
        <w:t xml:space="preserve">a) zur Wiederverwendung vorbereitet oder</w:t>
      </w:r>
    </w:p>
    <w:p>
      <w:pPr>
        <w:ind w:left="780"/>
      </w:pPr>
      <w:r>
        <w:t xml:space="preserve">b) von Schadstoffen entfrachtet und Wertstoffe aus den Altgeräten separiert</w:t>
      </w:r>
    </w:p>
    <w:p>
      <w:pPr>
        <w:ind w:left="420"/>
      </w:pPr>
      <w:r>
        <w:t xml:space="preserve">werden, einschließlich hierauf bezogener Vorbereitungshandlungen; die Erstbehandlung umfasst auch die Verwertungsverfahren R 12 und R 13 nach Anlage 2 zum Kreislaufwirtschaftsgesetz; die zerstörungsfreie Entnahme von Lampen aus Altgeräten bei der Erfassung gilt nicht als Erstbehandlung; dies gilt auch für die zerstörungsfreie Entnahme von Altbatterien, die nicht vom Altgerät umschlossen sind, und für die zerstörungsfreie Löschung oder Vernichtung von Daten auf dem Altgerät;</w:t>
      </w:r>
    </w:p>
    <w:p>
      <w:pPr>
        <w:ind w:left="420"/>
      </w:pPr>
      <w:r>
        <w:t xml:space="preserve">25. Entfernen:die manuelle, mechanische, chemische oder metallurgische Bearbeitung von Altgeräten, in deren Folge im Laufe des Behandlungsverfahrens gefährliche Stoffe, Gemische oder Bestandteile einen unterscheidbaren Stoffstrom oder einen unterscheidbaren Teil eines Stoffstromes bilden; Stoffe, Gemische und Bestandteile gelten dann als unterscheidbar, wenn sie überwacht werden können, um ihre umweltgerechte Behandlung oder Entsorgung zu überprüfen;</w:t>
      </w:r>
    </w:p>
    <w:p>
      <w:pPr>
        <w:ind w:left="420"/>
      </w:pPr>
      <w:r>
        <w:t xml:space="preserve">26. gefährliche Stoffe oder gefährliche Gemische:Stoffe oder Gemische gemäß Artikel 3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die zuletzt durch die Verordnung (EU) Nr. 286/2011 (ABl. L 83 vom 30.3.2011, S. 1) geändert worden ist, in ihrer jeweils geltenden Fassung.</w:t>
      </w:r>
    </w:p>
    <w:p>
      <w:r>
        <w:rPr>
          <w:color w:val="555555"/>
          <w:sz w:val="17"/>
        </w:rPr>
        <w:t xml:space="preserve">Zitiervorschlag: § 3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