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ElektroG 2015 — Mitteilungspflichten der öffentlich-rechtlichen Entsorgungsträger</w:t>
      </w:r>
    </w:p>
    <w:p>
      <w:r>
        <w:rPr>
          <w:color w:val="555555"/>
          <w:sz w:val="18"/>
        </w:rPr>
        <w:t xml:space="preserve">Elektro- und Elektronikgerätegesetz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Jeder öffentlich-rechtliche Entsorgungsträger hat der Gemeinsamen Stelle im Fall der Optierung nach § 14 Absatz 5 Satz 1 Folgendes mitzuteilen:</w:t>
      </w:r>
    </w:p>
    <w:p>
      <w:pPr>
        <w:ind w:left="420"/>
      </w:pPr>
      <w:r>
        <w:t xml:space="preserve">1. monatlich die von ihm je Gruppe und Kategorie an die Erstbehandlungsanlage abgegeben Altgeräte,</w:t>
      </w:r>
    </w:p>
    <w:p>
      <w:pPr>
        <w:ind w:left="420"/>
      </w:pPr>
      <w:r>
        <w:t xml:space="preserve">2. die von ihm je Kategorie im Kalenderjahr zur Wiederverwendung vorbereiteten Altgeräte,</w:t>
      </w:r>
    </w:p>
    <w:p>
      <w:pPr>
        <w:ind w:left="420"/>
      </w:pPr>
      <w:r>
        <w:t xml:space="preserve">2a. die von ihm je Kategorie im Kalenderjahr recycelten Altgeräte,</w:t>
      </w:r>
    </w:p>
    <w:p>
      <w:pPr>
        <w:ind w:left="420"/>
      </w:pPr>
      <w:r>
        <w:t xml:space="preserve">3. die von ihm je Kategorie im Kalenderjahr verwerteten Altgeräte,</w:t>
      </w:r>
    </w:p>
    <w:p>
      <w:pPr>
        <w:ind w:left="420"/>
      </w:pPr>
      <w:r>
        <w:t xml:space="preserve">4. die von ihm je Kategorie im Kalenderjahr beseitigten Altgeräte und</w:t>
      </w:r>
    </w:p>
    <w:p>
      <w:pPr>
        <w:ind w:left="420"/>
      </w:pPr>
      <w:r>
        <w:t xml:space="preserve">5. die von ihm je Kategorie im Kalenderjahr in Länder der Europäischen Union oder in Drittstaaten zur Behandlung ausgeführten Altgeräte.</w:t>
      </w:r>
    </w:p>
    <w:p>
      <w:r>
        <w:t xml:space="preserve">Bei diesen Mitteilungen sind in den Kategorien 4 und 5 Photovoltaikmodule und andere Altgeräte gesondert auszuweisen. Soweit die öffentlich-rechtlichen Entsorgungsträger im jeweiligen Monat keine Altgeräte an die Erstbehandlungsanlage abgeben, ist der Betrag mit null anzugeben (Nullmenge). Die Mitteilungen in den Fällen des Satzes 1 Nummer 1 haben bis zum 15. des Monats, der auf den Monat folgt, für den die jeweiligen Angaben mitzuteilen sind, zu erfolgen. Die Mitteilungen nach Satz 1 Nummer 2 bis 5 müssen der Gemeinsamen Stelle bis zum 30. April des darauf folgenden Kalenderjahres vorliegen. Die Mitteilungen müssen die Formatvorgaben der Gemeinsamen Stelle gemäß § 33 Absatz 1 Satz 4 erfüllen.</w:t>
      </w:r>
    </w:p>
    <w:p>
      <w:r>
        <w:t xml:space="preserve">(2) Bei den Mitteilungen nach Absatz 1 ist das Gewicht anzugeben. Soweit das nicht möglich ist, genügt eine fundierte Schätzung. Die Gemeinsame Stelle kann verlangen, dass die Angaben nach Absatz 1 Satz 1 durch einen unabhängigen Sachverständigen innerhalb einer angemessenen Frist bestätigt werden. Sie ist berechtigt, für diese Bestätigung die Prüfkriterien festzulegen.</w:t>
      </w:r>
    </w:p>
    <w:p>
      <w:r>
        <w:t xml:space="preserve">(3) Jeder öffentlich-rechtliche Entsorgungsträger hat darüber hinaus der Gemeinsamen Stelle jährlich bis zum 30. April die im vorangegangenen Kalenderjahr bei den Erstbehandlungsanlagen zusammengefassten Mengen nach § 22 Absatz 3 nach Gewicht zu melden.</w:t>
      </w:r>
    </w:p>
    <w:p>
      <w:r>
        <w:t xml:space="preserve">(4) Ist die Gemeinsame Stelle nicht eingerichtet, teilt der öffentlich-rechtliche Entsorgungsträger die Daten nach den Absätzen 1 bis 3 der zuständigen Behörde mit.</w:t>
      </w:r>
    </w:p>
    <w:p>
      <w:r>
        <w:rPr>
          <w:color w:val="555555"/>
          <w:sz w:val="17"/>
        </w:rPr>
        <w:t xml:space="preserve">Zitiervorschlag: § 26 ElektroG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https://recht.nulegal.eu/gesetze/ElektroG%202015/26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