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ElektroG 2015 — Verordnungsermächtigungen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Bundesregierung wird ermächtigt, durch Rechtsverordnung mit Zustimmung des Bundesrates</w:t>
      </w:r>
    </w:p>
    <w:p>
      <w:pPr>
        <w:ind w:left="420"/>
      </w:pPr>
      <w:r>
        <w:t xml:space="preserve">1. die näheren Anforderungen an die Prüfung nach § 20 Absatz 1 durch öffentlich-rechtliche Entsorgungsträger, Vertreiber, Hersteller, deren Bevollmächtigte und Behandlungsanlagen,</w:t>
      </w:r>
    </w:p>
    <w:p>
      <w:pPr>
        <w:ind w:left="420"/>
      </w:pPr>
      <w:r>
        <w:t xml:space="preserve">2. weiter gehende Anforderungen an die Behandlung von Altgeräten, einschließlich der Verwertung, des Recyclings und der Vorbereitung zur Wiederverwendung, sowie Anforderungen an den Schutz personenbezogener Daten bei der Vorbereitung zur Wiederverwendung,</w:t>
      </w:r>
    </w:p>
    <w:p>
      <w:pPr>
        <w:ind w:left="420"/>
      </w:pPr>
      <w:r>
        <w:t xml:space="preserve">3. die näheren Anforderungen an den Nachweis nach § 22 Absatz 5 Nummer 2, insbesondere Kriterien zur Beurteilung der Frage, ob die vorgenommene Behandlung den Anforderungen nach § 20 gleichwertig ist, und</w:t>
      </w:r>
    </w:p>
    <w:p>
      <w:pPr>
        <w:ind w:left="420"/>
      </w:pPr>
      <w:r>
        <w:t xml:space="preserve">4. zusätzliche Inspektions- und Überwachungsvorschriften bezüglich Verbringungen und einheitliche Bedingungen für die Durchführung von Anlage 6 Nummer 2</w:t>
      </w:r>
    </w:p>
    <w:p>
      <w:r>
        <w:t xml:space="preserve">festzulegen.</w:t>
      </w:r>
    </w:p>
    <w:p>
      <w:r>
        <w:rPr>
          <w:color w:val="555555"/>
          <w:sz w:val="17"/>
        </w:rPr>
        <w:t xml:space="preserve">Zitiervorschlag: § 24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