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ElektroG 2015 — Anforderungen an die Verbringung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Gebrauchte Elektro- und Elektronikgeräte, bei denen es sich möglicherweise um Altgeräte handelt, dürfen nur nach Maßgabe der Anlage 6 in den, aus dem und durch den Geltungsbereich dieses Gesetzes verbracht werden.</w:t>
      </w:r>
    </w:p>
    <w:p>
      <w:r>
        <w:t xml:space="preserve">(2) Die zuständigen Landesbehörden sowie die zuständigen Behörden nach § 14 Absatz 1 und 2 Satz 1 des Abfallverbringungsgesetzes überwachen die Einhaltung der Vorgaben des Absatzes 1. § 11 Absatz 2 Satz 2 und 3 des Abfallverbringungsgesetzes gilt entsprechend.</w:t>
      </w:r>
    </w:p>
    <w:p>
      <w:r>
        <w:t xml:space="preserve">(3) Die Kosten angemessener Analysen und Kontrollen, einschließlich der Lagerungskosten, von gebrauchten Elektro- und Elektronikgeräten, bei denen es sich vermutlich um Altgeräte handelt, können denjenigen Herstellern oder im Fall der Bevollmächtigung nach § 8 deren Bevollmächtigten, den in ihrem Namen oder Auftrag handelnden Dritten oder anderen Personen auferlegt werden, die die Verbringung von gebrauchten Elektro- und Elektronikgeräten, bei denen es sich vermutlich um Altgeräte handelt, veranlassen.</w:t>
      </w:r>
    </w:p>
    <w:p>
      <w:r>
        <w:t xml:space="preserve">(4) Es wird widerlegbar vermutet, dass ein Gegenstand ein Altgerät ist und eine illegale Verbringung vorliegt, wenn</w:t>
      </w:r>
    </w:p>
    <w:p>
      <w:pPr>
        <w:ind w:left="420"/>
      </w:pPr>
      <w:r>
        <w:t xml:space="preserve">1. die entsprechenden Unterlagen gemäß Anlage 6 zum Nachweis, dass es sich bei einem Gegenstand um ein gebrauchtes Elektro- oder Elektronikgerät und nicht um ein Altgerät handelt, fehlen; für diese Unterlagen hat der Besitzer, der die Beförderung veranlasst, zu sorgen,</w:t>
      </w:r>
    </w:p>
    <w:p>
      <w:pPr>
        <w:ind w:left="420"/>
      </w:pPr>
      <w:r>
        <w:t xml:space="preserve">2. die vorgelegten Unterlagen nicht ausreichend zur Beurteilung sind, oder</w:t>
      </w:r>
    </w:p>
    <w:p>
      <w:pPr>
        <w:ind w:left="420"/>
      </w:pPr>
      <w:r>
        <w:t xml:space="preserve">3. ein angemessener Schutz vor Beschädigung bei der Beförderung und beim Be- und Entladen, insbesondere durch ausreichende Verpackung und eine geeignete Stapelung der Ladung, fehlt; für den angemessenen Schutz hat der Besitzer, der die Beförderung veranlasst, zu sorgen.</w:t>
      </w:r>
    </w:p>
    <w:p>
      <w:r>
        <w:t xml:space="preserve">In diesem Fall gelten die Artikel 24 und 25 der Verordnung (EG) Nr. 1013/2006.</w:t>
      </w:r>
    </w:p>
    <w:p>
      <w:r>
        <w:t xml:space="preserve">(5) Die zuständigen Behörden nach § 14 Absatz 1 und 2 Satz 1 des Abfallverbringungsgesetzes überwachen die Verbringung von Altgeräten, insbesondere Ausfuhren aus der Europäischen Union, gemäß der Verordnung (EG) Nr. 1013/2006, der Verordnung (EG) Nr. 1418/2007 und dem Abfallverbringungsgesetz. § 11 Absatz 2 Satz 2 und 3 des Abfallverbringungsgesetzes gilt entsprechend.</w:t>
      </w:r>
    </w:p>
    <w:p>
      <w:r>
        <w:rPr>
          <w:color w:val="555555"/>
          <w:sz w:val="17"/>
        </w:rPr>
        <w:t xml:space="preserve">Zitiervorschlag: § 23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