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ElektroG 2015 — Zertifizierung</w:t>
      </w:r>
    </w:p>
    <w:p>
      <w:r>
        <w:rPr>
          <w:color w:val="555555"/>
          <w:sz w:val="18"/>
        </w:rPr>
        <w:t xml:space="preserve">Elektro- und Elektronikgerätegesetz</w:t>
      </w:r>
    </w:p>
    <w:p>
      <w:r>
        <w:rPr>
          <w:color w:val="555555"/>
          <w:sz w:val="18"/>
        </w:rPr>
        <w:t xml:space="preserve">Stand: 01.01.2022 (konsolidierte Textfassung, kein amtliches Inkrafttretensdatum)</w:t>
      </w:r>
    </w:p>
    <w:p>
      <w:r>
        <w:t xml:space="preserve">(1) Die Erstbehandlung von Altgeräten darf ausschließlich durch zertifizierte Erstbehandlungsanlagen durchgeführt werden.</w:t>
      </w:r>
    </w:p>
    <w:p>
      <w:r>
        <w:t xml:space="preserve">(2) Der Betreiber einer Erstbehandlungsanlage ist verpflichtet, die Anlage jährlich durch einen geeigneten Sachverständigen zertifizieren zu lassen. Geeignet ist ein Sachverständiger, der</w:t>
      </w:r>
    </w:p>
    <w:p>
      <w:pPr>
        <w:ind w:left="420"/>
      </w:pPr>
      <w:r>
        <w:t xml:space="preserve">1. nach § 36 der Gewerbeordnung öffentlich bestellt ist,</w:t>
      </w:r>
    </w:p>
    <w:p>
      <w:pPr>
        <w:ind w:left="420"/>
      </w:pPr>
      <w:r>
        <w:t xml:space="preserve">2. als Umweltgutachter oder Umweltgutachterorganisation auf Grund einer Zulassung nach den §§ 9 und 10 oder nach Maßgabe des § 18 des Umweltauditgesetzes in der Fassung der Bekanntmachung vom 4. September 2002 (BGBl. I S. 3490), das zuletzt durch Artikel 2 Absatz 43 des Gesetzes vom 7. August 2013 (BGBl. I S. 3154) geändert worden ist, in der jeweils geltenden Fassung, in dem Bereich tätig werden darf, der näher bestimmt wird durch Anhang I Abschnitt E Abteilung 38 der Verordnung (EG) Nr. 1893/2006 des Europäischen Parlaments und des Rates vom 20. Dezember 2006 zur Aufstellung der statistischen Systematik der Wirtschaftszweige NACE Revision 2 und zur Änderung der Verordnung (EWG) Nr. 3037/90 des Rates sowie einiger Verordnungen der EG über bestimmte Bereiche der Statistik (ABl. L 393 vom 30.12.2006, S. 1), die zuletzt durch die Verordnung (EG) Nr. 295/2008 (ABl. L 97 vom 9.4.2008, S. 13) geändert worden ist, in der jeweils geltenden Fassung, oder</w:t>
      </w:r>
    </w:p>
    <w:p>
      <w:pPr>
        <w:ind w:left="420"/>
      </w:pPr>
      <w:r>
        <w:t xml:space="preserve">3. in einem anderen Mitgliedstaat der Europäischen Union oder in einem anderen Vertragsstaat des Abkommens über den Europäischen Wirtschaftsraum niedergelassen ist, seine Tätigkeit im Inland nur vorübergehend und gelegentlich ausüben will und seine Berufsqualifikation vor Aufnahme der Tätigkeit entsprechend den §§ 13a und 13b der Gewerbeordnung hat nachprüfen lassen; Verfahren nach dieser Nummer können über eine einheitliche Stelle abgewickelt werden.</w:t>
      </w:r>
    </w:p>
    <w:p>
      <w:r>
        <w:t xml:space="preserve">Der Betreiber einer Erstbehandlungsanlage hat sicherzustellen, dass spätestens nach fünf Jahren der durchgängigen Prüfung durch denselben Sachverständigen ein anderer Sachverständiger die Anlage zertifiziert.</w:t>
      </w:r>
    </w:p>
    <w:p>
      <w:r>
        <w:t xml:space="preserve">(3) Der Sachverständige darf das Zertifikat für die Tätigkeiten der Schadstoffentfrachtung und Wertstoffseparierung nur dann erteilen, wenn</w:t>
      </w:r>
    </w:p>
    <w:p>
      <w:pPr>
        <w:ind w:left="420"/>
      </w:pPr>
      <w:r>
        <w:t xml:space="preserve">1. in der Anlage die Durchführung der Tätigkeiten einer Erstbehandlung möglich ist, wobei die Durchführung der Verwertungsverfahren R 12 und R 13 nach Anlage 2 zum Kreislaufwirtschaftsgesetz allein nicht ausreichend ist,</w:t>
      </w:r>
    </w:p>
    <w:p>
      <w:pPr>
        <w:ind w:left="420"/>
      </w:pPr>
      <w:r>
        <w:t xml:space="preserve">2. die Anlage technisch geeignet ist, die Behandlungsanforderungen nach § 20 Absatz 2 und nach der Rechtsverordnung nach § 24 Nummer 2 einzuhalten,</w:t>
      </w:r>
    </w:p>
    <w:p>
      <w:pPr>
        <w:ind w:left="420"/>
      </w:pPr>
      <w:r>
        <w:t xml:space="preserve">3. der Betreiber der Anlage ein Behandlungskonzept vorlegt, das den Anforderungen nach Anlage 5 genügt,</w:t>
      </w:r>
    </w:p>
    <w:p>
      <w:pPr>
        <w:ind w:left="420"/>
      </w:pPr>
      <w:r>
        <w:t xml:space="preserve">4. der Betreiber der Anlage ein Betriebstagebuch gemäß Anlage 5a führt und</w:t>
      </w:r>
    </w:p>
    <w:p>
      <w:pPr>
        <w:ind w:left="420"/>
      </w:pPr>
      <w:r>
        <w:t xml:space="preserve">5. in der Anlage alle Primärdaten nach § 22 Absatz 3 Satz 1, die zur Berechnung und zum Nachweis der Verwertungsquoten erforderlich sind, sowie nach § 22 Absatz 4 Satz 1 und 2 in nachvollziehbarer Weise dokumentiert werden.</w:t>
      </w:r>
    </w:p>
    <w:p>
      <w:r>
        <w:t xml:space="preserve">(4) Der Sachverständige darf das Zertifikat für die Tätigkeiten der Vorbereitung zur Wiederverwendung nur dann erteilen, wenn</w:t>
      </w:r>
    </w:p>
    <w:p>
      <w:pPr>
        <w:ind w:left="420"/>
      </w:pPr>
      <w:r>
        <w:t xml:space="preserve">1. in der Anlage nur Tätigkeiten der Vorbereitung zur Wiederverwendung durchgeführt werden,</w:t>
      </w:r>
    </w:p>
    <w:p>
      <w:pPr>
        <w:ind w:left="420"/>
      </w:pPr>
      <w:r>
        <w:t xml:space="preserve">2. die Anlage technisch geeignet ist, die Altgeräte so zu prüfen, zu reinigen und zu reparieren, dass diese ohne weitere Vorbehandlung wieder für denselben Zweck verwendet werden können, für den sie ursprünglich bestimmt waren, und</w:t>
      </w:r>
    </w:p>
    <w:p>
      <w:pPr>
        <w:ind w:left="420"/>
      </w:pPr>
      <w:r>
        <w:t xml:space="preserve">3. der Betreiber der Anlage ein Behandlungskonzept vorlegt, das den Anforderungen der Anlage 5, mit Ausnahme der Nummer 4 Buchstabe b und der Nummer 5 Buchstabe b, genügt.</w:t>
      </w:r>
    </w:p>
    <w:p>
      <w:r>
        <w:t xml:space="preserve">Absatz 3 Nummer 4 gilt entsprechend. Absatz 3 Nummer 5 gilt mit der Maßgabe, dass an der Anlage alle Primärdaten nach § 22 Absatz 3 Satz 1 in nachvollziehbarer Weise zu dokumentieren sind.</w:t>
      </w:r>
    </w:p>
    <w:p>
      <w:r>
        <w:t xml:space="preserve">(5) Das Zertifikat gilt längstens 18 Monate.</w:t>
      </w:r>
    </w:p>
    <w:p>
      <w:r>
        <w:t xml:space="preserve">(6) Der Sachverständige hat bei Beanstandungen dem Betreiber zur Erfüllung der Voraussetzungen nach Absatz 3 oder 4 eine dreimonatige Frist zu setzen, die nicht verlängert werden darf.</w:t>
      </w:r>
    </w:p>
    <w:p>
      <w:r>
        <w:t xml:space="preserve">(7) Bei der Überprüfung der Voraussetzungen nach Absatz 3 oder 4 durch den Sachverständigen sind die Ergebnisse von Prüfungen zu berücksichtigen, die durchgeführt wurden</w:t>
      </w:r>
    </w:p>
    <w:p>
      <w:pPr>
        <w:ind w:left="420"/>
      </w:pPr>
      <w:r>
        <w:t xml:space="preserve">1. von einem unabhängigen Umweltgutachter oder einer Umweltgutachterorganisation im Rahmen einer Prüfung gemäß Artikel 4 Absatz 5 und Artikel 6 Absatz 1 Buchstabe a der Verordnung (EG) Nr. 1221/2009 des Europäischen Parlaments und des Rates vom 25. November 2009 über die freiwillige Teilnahme von Organisationen an einem Gemeinschaftssystem für Umweltmanagement und Umweltbetriebsprüfung und zur Aufhebung der Verordnung (EG) Nr. 761/2001, sowie der Beschlüsse der Kommission 2001/681/EG und 2006/193/EG (ABl. L 342 vom 22.12.2009, S. 1),</w:t>
      </w:r>
    </w:p>
    <w:p>
      <w:pPr>
        <w:ind w:left="420"/>
      </w:pPr>
      <w:r>
        <w:t xml:space="preserve">2. von einer nach DIN EN ISO/IEC 17021[1] akkreditierten Stelle im Rahmen der Zertifizierung eines Qualitätsmanagements nach DIN EN ISO 9001[2] oder 9004[3] oder</w:t>
      </w:r>
    </w:p>
    <w:p>
      <w:pPr>
        <w:ind w:left="420"/>
      </w:pPr>
      <w:r>
        <w:t xml:space="preserve">3. auf Grund wasserrechtlicher Vorschriften von Sachverständigen im Rahmen der Überprüfung von Anlagen zum Umgang mit wassergefährdenden Stoffen im Sinne des Wasserhaushaltsgesetzes.</w:t>
      </w:r>
    </w:p>
    <w:p>
      <w:r>
        <w:t xml:space="preserve">§ 22 Absatz 2 Satz 1, 2 und 4 und Absatz 3 Satz 2 der Entsorgungsfachbetriebeverordnung vom 2. Dezember 2016 (BGBl. I S. 2770), die durch Artikel 2 Absatz 2 des Gesetzes vom 5. Juli 2017 (BGBl. I S. 2234) geändert worden ist, gilt entsprechend. Im Zertifikat ist auszuweisen, ob die Anlage nach Absatz 3 oder Absatz 4 zertifiziert wurde. Sofern Zertifizierungen nach den Absätzen 3 und 4 für eine Anlage erteilt werden, sind jeweils getrennte Zertifikate zu erstellen.</w:t>
      </w:r>
    </w:p>
    <w:p>
      <w:r>
        <w:t xml:space="preserve">(8) Behandlungsanlagen gelten als Erstbehandlungsanlage im Sinne dieses Gesetzes zertifiziert, wenn</w:t>
      </w:r>
    </w:p>
    <w:p>
      <w:pPr>
        <w:ind w:left="420"/>
      </w:pPr>
      <w:r>
        <w:t xml:space="preserve">1. der Betrieb Entsorgungsfachbetrieb ist und</w:t>
      </w:r>
    </w:p>
    <w:p>
      <w:pPr>
        <w:ind w:left="420"/>
      </w:pPr>
      <w:r>
        <w:t xml:space="preserve">2. die Einhaltung der Anforderungen dieses Gesetzes</w:t>
      </w:r>
    </w:p>
    <w:p>
      <w:pPr>
        <w:ind w:left="780"/>
      </w:pPr>
      <w:r>
        <w:t xml:space="preserve">a) geprüft ist und</w:t>
      </w:r>
    </w:p>
    <w:p>
      <w:pPr>
        <w:ind w:left="780"/>
      </w:pPr>
      <w:r>
        <w:t xml:space="preserve">b) im Überwachungsbericht nach § 23 in Verbindung mit Anlage 2 der Entsorgungsfachbetriebeverordnung sowie im Zertifikat nach § 56 Absatz 3 des Kreislaufwirtschaftsgesetzes in Verbindung mit Anlage 3 der Entsorgungsfachbetriebeverordnung ausgewiesen ist.</w:t>
      </w:r>
    </w:p>
    <w:p>
      <w:r>
        <w:t xml:space="preserve">Absatz 7 Satz 3 bleibt unberührt. Im Fall des Satzes 1 kann das Betriebstagebuch nach Anlage 5a gemeinsam mit dem Betriebstagebuch nach § 5 der Entsorgungsfachbetriebeverordnung geführt werden.</w:t>
      </w:r>
    </w:p>
    <w:p>
      <w:r>
        <w:t xml:space="preserve">1 Konformitätsbewertung – Anforderungen an Stellen, die Managementsysteme auditieren und zertifizieren, Ausgabe November 2015, zu beziehen über die Beuth Verlag GmbH, Berlin.</w:t>
      </w:r>
    </w:p>
    <w:p>
      <w:r>
        <w:t xml:space="preserve">2 Qualitätsmanagementsysteme – Anforderungen, Ausgabe November 2015, zu beziehen über die Beuth Verlag GmbH, Berlin.</w:t>
      </w:r>
    </w:p>
    <w:p>
      <w:r>
        <w:t xml:space="preserve">3 Leiten und Lenken für den nachhaltigen Erfolg einer Organisation – ein Qualitätsmanagementansatz, Ausgabe Dezember 2009, zu beziehen über die Beuth Verlag GmbH, Berlin.</w:t>
      </w:r>
    </w:p>
    <w:p>
      <w:r>
        <w:rPr>
          <w:color w:val="555555"/>
          <w:sz w:val="17"/>
        </w:rPr>
        <w:t xml:space="preserve">Zitiervorschlag: § 21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