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ElektroG 2015 — Behandlung und Beseitigung</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Altgeräte sind vor der Durchführung weiterer Verwertungs- oder Beseitigungsmaßnahmen einer Erstbehandlung zuzuführen. Vor der Erstbehandlung ist zu prüfen, ob das Altgerät oder einzelne Bauteile einer Vorbereitung zur Wiederverwendung zugeführt werden können. Diese Prüfung ist durchzuführen, soweit sie technisch möglich und wirtschaftlich zumutbar ist.</w:t>
      </w:r>
    </w:p>
    <w:p>
      <w:r>
        <w:t xml:space="preserve">(2) Die Erstbehandlung und weitere Behandlungstätigkeiten haben nach dem Stand der Technik im Sinne des § 3 Absatz 28 des Kreislaufwirtschaftsgesetzes zu erfolgen. Bei der Erstbehandlung sind im Rahmen der Schadstoffentfrachtung und Wertstoffseparierung die durch Rechtsverordnung nach § 24 Nummer 2 festgelegten Anforderungen an die Behandlung von Altgeräten zu erfüllen. Andere Behandlungstechniken, die mindestens das gleiche Maß an Schutz für die menschliche Gesundheit und die Umwelt sicherstellen, können nach Aufnahme in Anhang VII der Richtlinie 2012/19/EU entsprechend dem Verfahren des Artikels 20 dieser Richtlinie ergänzend zu den durch Rechtsverordnung nach § 24 Nummer 2 festgelegten Anforderungen angewandt werden. Standorte für die Lagerung und Behandlung von Altgeräten müssen mindestens die technischen Anforderungen nach Anlage 4 erfüllen.</w:t>
      </w:r>
    </w:p>
    <w:p>
      <w:r>
        <w:t xml:space="preserve">(3) Die Behandlung von Altgeräten kann auch außerhalb Deutschlands oder außerhalb der Europäischen Union durchgeführt werden. Die Voraussetzung hierfür ist eine ordnungsgemäße Ausfuhr, die insbesondere im Einklang steht mit</w:t>
      </w:r>
    </w:p>
    <w:p>
      <w:pPr>
        <w:ind w:left="420"/>
      </w:pPr>
      <w:r>
        <w:t xml:space="preserve">1. der Verordnung (EG) Nr. 1013/2006 in der jeweils geltenden Fassung,</w:t>
      </w:r>
    </w:p>
    <w:p>
      <w:pPr>
        <w:ind w:left="420"/>
      </w:pPr>
      <w:r>
        <w:t xml:space="preserve">2. der Verordnung (EG) Nr. 1418/2007 der Kommission vom 29. November 2007 über die Ausfuhr von bestimmten in Anhang III oder IIIA der Verordnung (EG) Nr. 1013/2006 des Europäischen Parlaments und des Rates aufgeführten Abfällen, die zur Verwertung bestimmt sind, in bestimmte Staaten, für die der OECD-Beschluss über die Kontrolle der grenzüberschreitenden Verbringung von Abfällen nicht gilt (ABl. L 316 vom 4.12.2007, S. 6), die zuletzt durch die Verordnung (EU) Nr. 733/2014 (ABl. L 197 vom 4.7.2014, S. 10) geändert worden ist, in der jeweils geltenden Fassung, und</w:t>
      </w:r>
    </w:p>
    <w:p>
      <w:pPr>
        <w:ind w:left="420"/>
      </w:pPr>
      <w:r>
        <w:t xml:space="preserve">3. dem Abfallverbringungsgesetz vom 19. Juli 2007 (BGBl. I S. 1462), das zuletzt durch Artikel 4 Absatz 34 des Gesetzes vom 7. August 2013 (BGBl. I S. 3154) geändert worden ist, in der jeweils geltenden Fassung.</w:t>
      </w:r>
    </w:p>
    <w:p>
      <w:r>
        <w:t xml:space="preserve">(4) Altgeräte, die nicht entsprechend den Anforderungen der Absätze 1 und 2 behandelt wurden, dürfen nicht beseitigt werden.</w:t>
      </w:r>
    </w:p>
    <w:p>
      <w:r>
        <w:rPr>
          <w:color w:val="555555"/>
          <w:sz w:val="17"/>
        </w:rPr>
        <w:t xml:space="preserve">Zitiervorschlag: § 20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