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ElektroG 2015 — Anwendungsbereich</w:t>
      </w:r>
    </w:p>
    <w:p>
      <w:r>
        <w:rPr>
          <w:color w:val="555555"/>
          <w:sz w:val="18"/>
        </w:rPr>
        <w:t xml:space="preserve">Elektro- und Elektronikgerätegesetz</w:t>
      </w:r>
    </w:p>
    <w:p>
      <w:r>
        <w:rPr>
          <w:color w:val="555555"/>
          <w:sz w:val="18"/>
        </w:rPr>
        <w:t xml:space="preserve">Stand: 10.06.2019 (konsolidierte Textfassung, kein amtliches Inkrafttretensdatum)</w:t>
      </w:r>
    </w:p>
    <w:p>
      <w:r>
        <w:t xml:space="preserve">(1) Dieses Gesetz gilt für sämtliche Elektro- und Elektronikgeräte. Sie sind in die folgenden Kategorien unterteilt:</w:t>
      </w:r>
    </w:p>
    <w:p>
      <w:pPr>
        <w:ind w:left="420"/>
      </w:pPr>
      <w:r>
        <w:t xml:space="preserve">1. Wärmeüberträger,</w:t>
      </w:r>
    </w:p>
    <w:p>
      <w:pPr>
        <w:ind w:left="420"/>
      </w:pPr>
      <w:r>
        <w:t xml:space="preserve">2. Bildschirme, Monitore und Geräte, die Bildschirme mit einer Oberfläche von mehr als 100 Quadratzentimetern enthalten,</w:t>
      </w:r>
    </w:p>
    <w:p>
      <w:pPr>
        <w:ind w:left="420"/>
      </w:pPr>
      <w:r>
        <w:t xml:space="preserve">3. Lampen,</w:t>
      </w:r>
    </w:p>
    <w:p>
      <w:pPr>
        <w:ind w:left="420"/>
      </w:pPr>
      <w:r>
        <w:t xml:space="preserve">4. Geräte, bei denen mindestens eine der äußeren Abmessungen mehr als 50 Zentimeter beträgt (Großgeräte),</w:t>
      </w:r>
    </w:p>
    <w:p>
      <w:pPr>
        <w:ind w:left="420"/>
      </w:pPr>
      <w:r>
        <w:t xml:space="preserve">5. Geräte, bei denen keine der äußeren Abmessungen mehr als 50 Zentimeter beträgt (Kleingeräte), und</w:t>
      </w:r>
    </w:p>
    <w:p>
      <w:pPr>
        <w:ind w:left="420"/>
      </w:pPr>
      <w:r>
        <w:t xml:space="preserve">6. kleine Geräte der Informations- und Telekommunikationstechnik, bei denen keine der äußeren Abmessungen mehr als 50 Zentimeter beträgt.</w:t>
      </w:r>
    </w:p>
    <w:p>
      <w:r>
        <w:t xml:space="preserve">Elektro- und Elektronikgeräte im Sinne des Satzes 1 sind insbesondere die in Anlage 1 aufgeführten Geräte.</w:t>
      </w:r>
    </w:p>
    <w:p>
      <w:r>
        <w:t xml:space="preserve">(2) Dieses Gesetz gilt nicht für folgende Elektro- und Elektronikgeräte:</w:t>
      </w:r>
    </w:p>
    <w:p>
      <w:pPr>
        <w:ind w:left="420"/>
      </w:pPr>
      <w:r>
        <w:t xml:space="preserve">1. Geräte, die der Wahrung der wesentlichen Sicherheitsinteressen der Bundesrepublik Deutschland dienen, einschließlich Waffen, Munition und Wehrmaterial, die nur für militärische Zwecke bestimmt sind,</w:t>
      </w:r>
    </w:p>
    <w:p>
      <w:pPr>
        <w:ind w:left="420"/>
      </w:pPr>
      <w:r>
        <w:t xml:space="preserve">2. Geräte, die</w:t>
      </w:r>
    </w:p>
    <w:p>
      <w:pPr>
        <w:ind w:left="780"/>
      </w:pPr>
      <w:r>
        <w:t xml:space="preserve">a) als Teil eines anderen Gerätes, das vom Geltungsbereich dieses Gesetzes ausgenommen ist oder nicht in den Geltungsbereich dieses Gesetzes fällt, in dieses eingebaut sind und</w:t>
      </w:r>
    </w:p>
    <w:p>
      <w:pPr>
        <w:ind w:left="780"/>
      </w:pPr>
      <w:r>
        <w:t xml:space="preserve">b) ihre Funktion nur speziell als Teil dieses anderen Gerätes erfüllen können,</w:t>
      </w:r>
    </w:p>
    <w:p>
      <w:pPr>
        <w:ind w:left="420"/>
      </w:pPr>
      <w:r>
        <w:t xml:space="preserve">3. Glühlampen,</w:t>
      </w:r>
    </w:p>
    <w:p>
      <w:pPr>
        <w:ind w:left="420"/>
      </w:pPr>
      <w:r>
        <w:t xml:space="preserve">4. Ausrüstungsgegenstände für einen Einsatz im Weltraum,</w:t>
      </w:r>
    </w:p>
    <w:p>
      <w:pPr>
        <w:ind w:left="420"/>
      </w:pPr>
      <w:r>
        <w:t xml:space="preserve">5. ortsfeste industrielle Großwerkzeuge,</w:t>
      </w:r>
    </w:p>
    <w:p>
      <w:pPr>
        <w:ind w:left="420"/>
      </w:pPr>
      <w:r>
        <w:t xml:space="preserve">6. ortsfeste Großanlagen; dieses Gesetz gilt jedoch für Geräte, die nicht speziell als Teil dieser Anlagen konzipiert und darin eingebaut sind,</w:t>
      </w:r>
    </w:p>
    <w:p>
      <w:pPr>
        <w:ind w:left="420"/>
      </w:pPr>
      <w:r>
        <w:t xml:space="preserve">7. Verkehrsmittel zur Personen- und Güterbeförderung; dieses Gesetz gilt jedoch für elektrische Zweiradfahrzeuge, für die eine Typgenehmigung nicht erforderlich ist,</w:t>
      </w:r>
    </w:p>
    <w:p>
      <w:pPr>
        <w:ind w:left="420"/>
      </w:pPr>
      <w:r>
        <w:t xml:space="preserve">8. bewegliche Maschinen,</w:t>
      </w:r>
    </w:p>
    <w:p>
      <w:pPr>
        <w:ind w:left="420"/>
      </w:pPr>
      <w:r>
        <w:t xml:space="preserve">9. Geräte, die ausschließlich zu Zwecken der Forschung und Entwicklung speziell entworfen wurden und nur auf zwischenbetrieblicher Ebene bereitgestellt werden, und</w:t>
      </w:r>
    </w:p>
    <w:p>
      <w:pPr>
        <w:ind w:left="420"/>
      </w:pPr>
      <w:r>
        <w:t xml:space="preserve">10. medizinische Geräte und In-vitro-Diagnostika, bei denen jeweils zu erwarten ist, dass sie vor Ablauf ihrer Lebensdauer infektiös werden, und aktive implantierbare medizinische Geräte.</w:t>
      </w:r>
    </w:p>
    <w:p>
      <w:r>
        <w:t xml:space="preserve">(3) Soweit dieses Gesetz keine abweichenden Vorschriften enthält, sind das Kreislaufwirtschaftsgesetz, mit Ausnahme von § 17 Absatz 4 und § 54, und diejenigen Rechtsverordnungen in der jeweils geltenden Fassung anzuwenden, die auf der Grundlage des Kreislaufwirtschaftsgesetzes oder des bis zum 31. Mai 2012 geltenden Kreislaufwirtschafts- und Abfallgesetzes erlassen wurden. Die §§ 27, 47 Absatz 1 bis 6, § 50 Absatz 3, § 59 Absatz 1 Satz 1 und Absatz 2 sowie die §§ 60, 62 und 66 des Kreislaufwirtschaftsgesetzes gelten entsprechend. Rechtsvorschriften, die besondere Anforderungen an die Bewirtschaftung von Altgeräten oder an die Produktkonzeption enthalten, sowie solche, die aus Gründen der Sicherheit im Zusammenhang mit der Beförderung gefährlicher Güter erlassen sind, bleiben unberührt. Die Nachweispflichten nach § 50 Absatz 1 des Kreislaufwirtschaftsgesetzes gelten nicht für die Überlassung von Altgeräten an Einrichtungen zur Erfassung und Erstbehandlung von Altgeräten. Abweichend von Satz 1 gelten § 17 Absatz 4 Satz 1 und § 54 des Kreislaufwirtschaftsgesetzes für aus Altgeräten ausgebaute Bauteile, Unterbaugruppen und Verbrauchsmaterialien.</w:t>
      </w:r>
    </w:p>
    <w:p>
      <w:r>
        <w:rPr>
          <w:color w:val="555555"/>
          <w:sz w:val="17"/>
        </w:rPr>
        <w:t xml:space="preserve">Zitiervorschlag: § 2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https://recht.nulegal.eu/gesetze/ElektroG%202015/2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