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17b ElektroG 2015 — Kooperation zwischen öffentlich-rechtlichen Entsorgungsträgern und zertifizierten Erstbehandlungsanlagen</w:t>
      </w:r>
    </w:p>
    <w:p>
      <w:r>
        <w:rPr>
          <w:color w:val="555555"/>
          <w:sz w:val="18"/>
        </w:rPr>
        <w:t xml:space="preserve">Elektro- und Elektronikgerätegesetz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Öffentlich-rechtliche Entsorgungsträger und Betreiber von Erstbehandlungsanlagen, die nach § 21 Absatz 2 und 4 für die Vorbereitung zur Wiederverwendung zertifiziert sind, können zum Zweck der Vorbereitung zur Wiederverwendung von Altgeräten eine Kooperation vereinbaren.</w:t>
      </w:r>
    </w:p>
    <w:p>
      <w:r>
        <w:t xml:space="preserve">(2) Die Vereinbarung muss folgende Angaben enthalten:</w:t>
      </w:r>
    </w:p>
    <w:p>
      <w:pPr>
        <w:ind w:left="420"/>
      </w:pPr>
      <w:r>
        <w:t xml:space="preserve">1. Angaben zur Auswahl der geeigneten Altgeräte und</w:t>
      </w:r>
    </w:p>
    <w:p>
      <w:pPr>
        <w:ind w:left="420"/>
      </w:pPr>
      <w:r>
        <w:t xml:space="preserve">2. Angaben zum Zugangsrecht von Beschäftigten der Erstbehandlungsanlage zur Sammelstelle des öffentlich-rechtlichen Entsorgungsträgers.</w:t>
      </w:r>
    </w:p>
    <w:p>
      <w:r>
        <w:t xml:space="preserve">(3) Wenn eine Vereinbarung nach Absatz 1 vorliegt, hat der öffentlich-rechtliche Entsorgungsträger die Altgeräte, die nach Durchführung der Prüfung nach § 20 Absatz 1 Satz 2 für die Vorbereitung zur Wiederverwendung konkret geeignet sind, dem Betreiber der Erstbehandlungsanlage unentgeltlich zu überlassen. Der Betreiber der Erstbehandlungsanlage hat die geeigneten Altgeräte unentgeltlich zu übernehmen.</w:t>
      </w:r>
    </w:p>
    <w:p>
      <w:r>
        <w:t xml:space="preserve">(4) Ergibt die Prüfung des Betreibers der Erstbehandlungsanlage, dass sich ein Altgerät nicht für die Vorbereitung zur Wiederverwendung eignet, hat dieser das Altgerät dem öffentlich-rechtlichen Entsorgungsträger unentgeltlich wieder zu überlassen.</w:t>
      </w:r>
    </w:p>
    <w:p>
      <w:r>
        <w:rPr>
          <w:color w:val="555555"/>
          <w:sz w:val="17"/>
        </w:rPr>
        <w:t xml:space="preserve">Zitiervorschlag: § 17b ElektroG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https://recht.nulegal.eu/gesetze/ElektroG%202015/17b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