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ElektroG 2015 — Rücknahme durch zertifizierte Erstbehandlungsanlagen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Betreiber von nach § 21 zertifizierten Erstbehandlungsanlagen können sich freiwillig an der Rücknahme von Altgeräten beteiligen. Macht ein Betreiber einer Erstbehandlungsanlage von dieser Möglichkeit Gebrauch,</w:t>
      </w:r>
    </w:p>
    <w:p>
      <w:pPr>
        <w:ind w:left="420"/>
      </w:pPr>
      <w:r>
        <w:t xml:space="preserve">1. hat er hierfür Rücknahmestellen einzurichten und</w:t>
      </w:r>
    </w:p>
    <w:p>
      <w:pPr>
        <w:ind w:left="420"/>
      </w:pPr>
      <w:r>
        <w:t xml:space="preserve">2. darf er bei der Anlieferung von Altgeräten durch den Endnutzer kein Entgelt erheben.</w:t>
      </w:r>
    </w:p>
    <w:p>
      <w:r>
        <w:t xml:space="preserve">Die Rücknahme ist auf solche Altgeräte zu beschränken, für deren Behandlung das Zertifikat nach § 21 erteilt wurde.</w:t>
      </w:r>
    </w:p>
    <w:p>
      <w:r>
        <w:t xml:space="preserve">(2) Die Rücknahme nach Absatz 1 darf weder an Sammel- noch an Übergabestellen der öffentlich-rechtlichen Entsorgungsträger nach § 13 Absatz 1 erfolgen. § 14 Absatz 2 gilt entsprechend. Sofern der Betreiber der Erstbehandlungsanlage im Rahmen der Rücknahme auch eine Abholleistung beim privaten Haushalt anbietet, kann er für diese Leistung ein Entgelt verlangen.</w:t>
      </w:r>
    </w:p>
    <w:p>
      <w:r>
        <w:t xml:space="preserve">(3) Der Betreiber der Erstbehandlungsanlage ist verpflichtet, die nach Absatz 1 zurückgenommenen Altgeräte oder deren Bauteile für die Wiederverwendung vorzubereiten oder nach § 20 Absatz 2 bis 4 und § 22 Absatz 1 zu behandeln und zu verwerten.</w:t>
      </w:r>
    </w:p>
    <w:p>
      <w:r>
        <w:rPr>
          <w:color w:val="555555"/>
          <w:sz w:val="17"/>
        </w:rPr>
        <w:t xml:space="preserve">Zitiervorschlag: § 17a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