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ElektroG 2015 — Rücknahmepflicht der Hersteller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Hersteller oder im Fall der Bevollmächtigung nach § 8 dessen Bevollmächtigter ist verpflichtet, die nach § 14 Absatz 1 Satz 1 bereitgestellten Behältnisse entsprechend der Zuweisung der zuständigen Behörde nach § 38 Absatz 3 Satz 1 unverzüglich abzuholen, spätestens jedoch mit Ablauf der Nachfrist nach § 38 Absatz 3 Satz 2. Für die Abholung der zugewiesenen Behältnisse gelten Absatz 5 Satz 1 und § 13 Absatz 5 Satz 1 entsprechend.</w:t>
      </w:r>
    </w:p>
    <w:p>
      <w:r>
        <w:t xml:space="preserve">(2) Der Hersteller oder im Fall der Bevollmächtigung nach § 8 dessen Bevollmächtigter ist verpflichtet, die nach Absatz 1 abgeholten Altgeräte oder deren Bauteile zur Wiederverwendung vorzubereiten oder nach § 20 Absatz 2 bis 4 und § 22 Absatz 1 zu behandeln und zu verwerten.</w:t>
      </w:r>
    </w:p>
    <w:p>
      <w:r>
        <w:t xml:space="preserve">(3) Der Hersteller oder im Fall der Bevollmächtigung nach § 8 dessen Bevollmächtigter ist verpflichtet, nach Abholung der Behältnisse nach Absatz 1 entsprechend der Anordnung der zuständigen Behörde nach § 15 Absatz 4 Satz 1 unverzüglich leere Behältnisse aufzustellen, spätestens jedoch mit Ablauf der Nachfrist nach § 15 Absatz 4 Satz 3.</w:t>
      </w:r>
    </w:p>
    <w:p>
      <w:r>
        <w:t xml:space="preserve">(4) Der Hersteller oder im Fall der Bevollmächtigung nach § 8 dessen Bevollmächtigter ist verpflichtet, die Kosten der Abholung, der Entsorgung und des Aufstellens leerer Behältnisse zu tragen.</w:t>
      </w:r>
    </w:p>
    <w:p>
      <w:r>
        <w:t xml:space="preserve">(5) Die Hersteller oder im Fall der Bevollmächtigung nach § 8 deren Bevollmächtigte können freiwillig individuelle oder kollektive Rücknahmesysteme für die unentgeltliche Rückgabe von Altgeräten aus privaten Haushalten einrichten und betreiben, sofern diese Systeme im Einklang mit den Zielen nach § 1 stehen. Absatz 2 gilt entsprechend. Rücknahmestellen dieser Rücknahmesysteme dürfen weder an Sammel- noch an Übergabestellen der öffentlich-rechtlichen Entsorgungsträger nach § 13 Absatz 1 eingerichtet und betrieben werden. Bei der Rücknahme nach Satz 1 gilt § 14 Absatz 2 entsprechend.</w:t>
      </w:r>
    </w:p>
    <w:p>
      <w:r>
        <w:rPr>
          <w:color w:val="555555"/>
          <w:sz w:val="17"/>
        </w:rPr>
        <w:t xml:space="preserve">Zitiervorschlag: § 16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