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ElektroG 2015 — Verordnungsermächtigungen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</w:t>
      </w:r>
    </w:p>
    <w:p>
      <w:pPr>
        <w:ind w:left="420"/>
      </w:pPr>
      <w:r>
        <w:t xml:space="preserve">1. weiter gehende Anforderungen an die Durchführung und Organisation der getrennten Erfassung von Altgeräten, die zur Wiederverwendung vorbereitet werden sollen, und</w:t>
      </w:r>
    </w:p>
    <w:p>
      <w:pPr>
        <w:ind w:left="420"/>
      </w:pPr>
      <w:r>
        <w:t xml:space="preserve">2. Anforderungen an die Zertifizierung von Betrieben, die Altgeräte zur Wiederverwendung vorbereiten,</w:t>
      </w:r>
    </w:p>
    <w:p>
      <w:r>
        <w:t xml:space="preserve">festzulegen.</w:t>
      </w:r>
    </w:p>
    <w:p>
      <w:r>
        <w:rPr>
          <w:color w:val="555555"/>
          <w:sz w:val="17"/>
        </w:rPr>
        <w:t xml:space="preserve">Zitiervorschlag: § 11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