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ElektroG 2015 — Abfallwirtschaftliche Ziele</w:t>
      </w:r>
    </w:p>
    <w:p>
      <w:r>
        <w:rPr>
          <w:color w:val="555555"/>
          <w:sz w:val="18"/>
        </w:rPr>
        <w:t xml:space="preserve">Elektro- und Elektronikgerätegesetz</w:t>
      </w:r>
    </w:p>
    <w:p>
      <w:r>
        <w:rPr>
          <w:color w:val="555555"/>
          <w:sz w:val="18"/>
        </w:rPr>
        <w:t xml:space="preserve">Stand: 10.06.2019 (konsolidierte Textfassung, kein amtliches Inkrafttretensdatum)</w:t>
      </w:r>
    </w:p>
    <w:p>
      <w:r>
        <w:t xml:space="preserve">Dieses Gesetz legt Anforderungen an die Produktverantwortung nach § 23 des Kreislaufwirtschaftsgesetzes für Elektro- und Elektronikgeräte fest. Es bezweckt vorrangig die Vermeidung von Abfällen von Elektro- und Elektronikgeräten und darüber hinaus die Vorbereitung zur Wiederverwendung, das Recycling und andere Formen der Verwertung solcher Abfälle, um die zu beseitigende Abfallmenge zu reduzieren und dadurch die Effizienz der Ressourcennutzung zu verbessern. Um diese abfallwirtschaftlichen Ziele zu erreichen, soll das Gesetz das Marktverhalten der Verpflichteten regeln.</w:t>
      </w:r>
    </w:p>
    <w:p>
      <w:r>
        <w:rPr>
          <w:color w:val="555555"/>
          <w:sz w:val="17"/>
        </w:rPr>
        <w:t xml:space="preserve">Zitiervorschlag: § 1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