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ElekMeistPrV 2004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- Fachrichtung Elektrotechnik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Wird die zu prüfende Person nach § 56 Absatz 2 des Berufsbildungsgesetzes von der Ablegung einzelner Prüfungsbestandteile befreit, bleiben diese Prüfungsbestandteile für die Anwendung der §§ 7 und 8 außer Betracht. Für die übrigen Bestandteile erhöhen sich die Anteile nach § 7 Absatz 2 Satz 2 oder Absatz 3 Satz 4 oder § 8 Absatz 4 Satz 2 entsprechend ihrem Verhältnis zueinander. Allein diese Prüfungsbestandteile sind den Entscheidungen des Prüfungsausschusses zugrunde zu legen. Eine Befreiung von der Prüfung im situationsbezogenen Fachgespräch nach § 5 Absatz 6 ist nicht zulässig.</w:t>
      </w:r>
    </w:p>
    <w:p>
      <w:r>
        <w:rPr>
          <w:color w:val="555555"/>
          <w:sz w:val="17"/>
        </w:rPr>
        <w:t xml:space="preserve">Zitiervorschlag: § 6 ElekMeistPrV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https://recht.nulegal.eu/gesetze/ElekMeistPrV%202004/6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