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ElekMeistPrV 2004 — Fachrichtungsübergreifende Basisqualifikationen</w:t>
      </w:r>
    </w:p>
    <w:p>
      <w:r>
        <w:rPr>
          <w:color w:val="555555"/>
          <w:sz w:val="18"/>
        </w:rPr>
        <w:t xml:space="preserve">Verordnung über die Prüfung zum anerkannten Abschluss Geprüfter Industriemeister/Geprüfte Industriemeisterin - Fachrichtung Elektrotechnik</w:t>
      </w:r>
    </w:p>
    <w:p>
      <w:r>
        <w:rPr>
          <w:color w:val="555555"/>
          <w:sz w:val="18"/>
        </w:rPr>
        <w:t xml:space="preserve">Stand: 10.01.2020 (konsolidierte Textfassung, kein amtliches Inkrafttretensdatum)</w:t>
      </w:r>
    </w:p>
    <w:p>
      <w:r>
        <w:t xml:space="preserve">(1) Im Prüfungsteil "Fachrichtungsübergreifende Basisqualifikationen"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pPr>
        <w:ind w:left="420"/>
      </w:pPr>
      <w:r>
        <w:t xml:space="preserve">5. Berücksichtigen naturwissenschaftlicher und technischer Gesetzmäßigkeiten.</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nach rechtlichen Grundlagen die Arbeitssicherheit, den Gesundheitsschutz und den Umweltschutz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hinsichtlich der Produktverantwortung, der Produkthaftung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Durchführen von Kostenarten-, Kostenstellen- und Kostenträgerzeitrechnungen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im Rahmen anwendungsbezogener Handlungen Zusammenhänge des Sozialverhaltens erkennen, deren Auswirkungen auf die Zusammenarbeit beurteilen und durch angemessene Maßnahmen auf eine zielorientierte und effiziente Zusammenarbeit hinwirken zu können. Dazu gehört, die Leistungsbereitschaft der Mitarbeiter und Mitarbeiterinnen fördern, betriebliche Probleme und soziale Konflikte lösen,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von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"Berücksichtigen naturwissenschaftlicher und technischer Gesetzmäßigkeiten" soll die Fähigkeit nachgewiesen werden, einschlägige naturwissenschaftliche und technische Gesetzmäßigkeiten zur Lösung technischer Probleme einbeziehen sowie mathematische, physikalische, chemische und technische Kenntnisse und Fertigkeiten zur Lösung von Aufgaben aus der betrieblichen Praxis anwenden zu können.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 insbesondere bei Oxydations- und Reduktionsvorgängen, thermischen Einflüssen, galvanischen Prozessen, mechanischen Bewegungsvorgängen, elektrotechnischen, hydraulischen und pneumatischen Antriebs- und Steuerungsvorgängen;</w:t>
      </w:r>
    </w:p>
    <w:p>
      <w:pPr>
        <w:ind w:left="420"/>
      </w:pPr>
      <w:r>
        <w:t xml:space="preserve">2. Verwenden unterschiedlicher Energieformen im Betrieb sowie Beachten der damit zusammenhängenden Auswirkungen auf Mensch und Umwelt;</w:t>
      </w:r>
    </w:p>
    <w:p>
      <w:pPr>
        <w:ind w:left="420"/>
      </w:pPr>
      <w:r>
        <w:t xml:space="preserve">3. Berechnen von betriebs- und fertigungstechnischen Größen bei Belastungen und Bewegungen;</w:t>
      </w:r>
    </w:p>
    <w:p>
      <w:pPr>
        <w:ind w:left="420"/>
      </w:pPr>
      <w:r>
        <w:t xml:space="preserve">4. Anwenden von statistischen Verfahren und Durchführen von einfachen statistischen Berechnungen sowie ihre graphische Darstellung.</w:t>
      </w:r>
    </w:p>
    <w:p>
      <w:r>
        <w:t xml:space="preserve">(7) Die Bearbeitungsdauer für die schriftlichen Aufgaben in den in Absatz 1 Nr. 1 bis 5 genannten Prüfungsbereichen soll insgesamt höchstens acht Stunden betragen, je Prüfungsbereich nach Absatz 1 Nr.1 bis 4 mindestens 90 Minuten, im Prüfungsbereich nach Absatz 1 Nr. 5 mindestens 60 Minuten.</w:t>
      </w:r>
    </w:p>
    <w:p>
      <w:r>
        <w:t xml:space="preserve">(8) Wurden in nicht mehr als zwei schriftlichen Prüfungsleistungen in den in Absatz 1 Nr. 1 bis 5 genannten Prüfungsbereichen mangelhafte Prüfungsleistungen erbracht, ist in diesen Prüfungsbereichen eine mündliche Ergänzungsprüfung anzubieten. Bei einer oder mehrerer ungenügender schriftlicher Prüfungsleistungen besteht diese Möglichkeit nicht. Die Ergänzungsprüfung soll je Prüfungsbereich und zu prüfender Person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ElekMeistPrV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https://recht.nulegal.eu/gesetze/ElekMeistPrV%202004/4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