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ElekMaschBHwOAusbV — Ausbildungsplan</w:t>
      </w:r>
    </w:p>
    <w:p>
      <w:r>
        <w:rPr>
          <w:color w:val="555555"/>
          <w:sz w:val="18"/>
        </w:rPr>
        <w:t xml:space="preserve">Elektromaschinenbauerausbildungsverordnung HwO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Die Ausbildenden haben spätestens zu Beginn der Ausbildung auf der Grundlage des Ausbildungsrahmenplans für jeden Auszubildenden und für jede Auszubildende einen Ausbildungsplan zu erstellen.</w:t>
      </w:r>
    </w:p>
    <w:p>
      <w:r>
        <w:rPr>
          <w:color w:val="555555"/>
          <w:sz w:val="17"/>
        </w:rPr>
        <w:t xml:space="preserve">Zitiervorschlag: § 5 ElekMaschBHwOAusbV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https://recht.nulegal.eu/gesetze/ElekMaschBHwOAusbV/5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