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ElekMaschBHwOAusbV — Prüfungsbereich Wirtschafts- und Sozialkunde</w:t>
      </w:r>
    </w:p>
    <w:p>
      <w:r>
        <w:rPr>
          <w:color w:val="555555"/>
          <w:sz w:val="18"/>
        </w:rPr>
        <w:t xml:space="preserve">Elektromaschinenbauerausbildungsverordnung HwO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Im Prüfungsbereich Wirtschafts- und Sozialkunde hat der Prüfling nachzuweisen,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14 ElekMaschBHwOAusbV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https://recht.nulegal.eu/gesetze/ElekMaschBHwOAusbV/14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