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ElekMaschBHwOAusbV — Staatliche Anerkennung des Ausbildungsberufes</w:t>
      </w:r>
    </w:p>
    <w:p>
      <w:r>
        <w:rPr>
          <w:color w:val="555555"/>
          <w:sz w:val="18"/>
        </w:rPr>
        <w:t xml:space="preserve">Elektromaschinenbauerausbildungsverordnung HwO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Der Ausbildungsberuf des Elektronikers für Maschinen und Antriebstechnik nach der Handwerksordnung und der Elektronikerin für Maschinen und Antriebstechnik nach der Handwerksordnung wird nach § 25 der Handwerksordnung zur Ausbildung für das Gewerbe nach Anlage A Nummer 26, Elektromaschinenbauer, der Handwerksordnung staatlich anerkannt.</w:t>
      </w:r>
    </w:p>
    <w:p>
      <w:r>
        <w:rPr>
          <w:color w:val="555555"/>
          <w:sz w:val="17"/>
        </w:rPr>
        <w:t xml:space="preserve">Zitiervorschlag: § 1 ElekMaschBHwOAusbV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https://recht.nulegal.eu/gesetze/ElekMaschBHwOAusbV/1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ElekMaschBHwOAusbV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