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ElekMaschBBBiGAusbV — Inhalt von Teil 1</w:t>
      </w:r>
    </w:p>
    <w:p>
      <w:r>
        <w:rPr>
          <w:color w:val="555555"/>
          <w:sz w:val="18"/>
        </w:rPr>
        <w:t xml:space="preserve">Elektromaschinenbauerausbildungsverordnung BBiG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ElekMaschBBBiGAusbV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https://recht.nulegal.eu/gesetze/ElekMaschBBBiGAusbV/7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