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ElekMaschBBBiGAusbV — Staatliche Anerkennung des Ausbildungsberufes</w:t>
      </w:r>
    </w:p>
    <w:p>
      <w:r>
        <w:rPr>
          <w:color w:val="555555"/>
          <w:sz w:val="18"/>
        </w:rPr>
        <w:t xml:space="preserve">Elektromaschinenbauerausbildungsverordnung BBiG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Der Ausbildungsberuf des Elektronikers für Maschinen und Antriebstechnik nach dem Berufsbildungsgesetz und der Elektronikerin für Maschinen und Antriebstechnik nach dem Berufsbildungsgesetz wird nach § 4 Absatz 1 des Berufsbildungsgesetzes staatlich anerkannt.</w:t>
      </w:r>
    </w:p>
    <w:p>
      <w:r>
        <w:rPr>
          <w:color w:val="555555"/>
          <w:sz w:val="17"/>
        </w:rPr>
        <w:t xml:space="preserve">Zitiervorschlag: § 1 ElekMaschBBBiGAusbV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https://recht.nulegal.eu/gesetze/ElekMaschBBBiGAusbV/1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