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ElekAusbV 2021 — Prüfungsbereich von Teil 1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1 der Gesellenprüfung findet im Prüfungsbereich Elektrotechnische Anlagen und Betriebsmittel statt.</w:t>
      </w:r>
    </w:p>
    <w:p>
      <w:r>
        <w:t xml:space="preserve">(2) Im Prüfungsbereich Elektrotechnische Anlagen und Betriebsmittel hat der Prüfling nachzuweisen,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und Material und Werkzeug zu disponieren,</w:t>
      </w:r>
    </w:p>
    <w:p>
      <w:pPr>
        <w:ind w:left="420"/>
      </w:pPr>
      <w:r>
        <w:t xml:space="preserve">2. Anlagenteile zu montieren, zu verdrahten, zu verbinden und einzustellen und Sicherheitsregeln, Unfallverhütungsvorschriften und Umweltschutzbestimmungen einzuhalten,</w:t>
      </w:r>
    </w:p>
    <w:p>
      <w:pPr>
        <w:ind w:left="420"/>
      </w:pPr>
      <w:r>
        <w:t xml:space="preserve">3. die Sicherheit von elektrischen Anlagen und Betriebsmitteln zu beurteilen und elektrische Schutzmaßnahmen zu prüfen,</w:t>
      </w:r>
    </w:p>
    <w:p>
      <w:pPr>
        <w:ind w:left="420"/>
      </w:pPr>
      <w:r>
        <w:t xml:space="preserve">4. elektrische Systeme zu analysieren und Funktionen zu prüfen und Fehler zu suchen und zu beseitigen und</w:t>
      </w:r>
    </w:p>
    <w:p>
      <w:pPr>
        <w:ind w:left="420"/>
      </w:pPr>
      <w:r>
        <w:t xml:space="preserve">5. Produkte in Betrieb zu nehmen, zu übergeben und zu erläutern, die Auftragsdurchführung zu dokumentieren und technische Unterlagen einschließlich der Prüfprotokolle zu erstellen.</w:t>
      </w:r>
    </w:p>
    <w:p>
      <w:r>
        <w:t xml:space="preserve">(3) Der Prüfling hat eine Arbeitsaufgabe durchzuführen. Während der Durchführung wird mit ihm ein situatives Fachgespräch geführt. Darüber hinaus hat er Aufgaben, die sich auf die Arbeitsaufgabe beziehen, schriftlich zu bearbeiten.</w:t>
      </w:r>
    </w:p>
    <w:p>
      <w:r>
        <w:t xml:space="preserve">(4) Die Prüfungszeit beträgt insgesamt 10 Stunden. Davon entfallen 8 Stunden auf die Durchführung der Arbeitsaufgabe. Innerhalb dieser Zeit dauert das situative Fachgespräch höchstens 10 Minuten. Auf die schriftliche Bearbeitung der Aufgaben entfallen 120 Minuten.</w:t>
      </w:r>
    </w:p>
    <w:p>
      <w:r>
        <w:rPr>
          <w:color w:val="555555"/>
          <w:sz w:val="17"/>
        </w:rPr>
        <w:t xml:space="preserve">Zitiervorschlag: § 8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