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ElekAusbV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Elektrotechnische Anlagen und Betriebsmittel    mit 30 Prozent,</w:t>
      </w:r>
    </w:p>
    <w:p>
      <w:r>
        <w:rPr>
          <w:rFonts w:ascii="Courier New" w:hAnsi="Courier New"/>
          <w:sz w:val="17"/>
        </w:rPr>
        <w:t xml:space="preserve">Kundenauftrag    mit 36 Prozent,</w:t>
      </w:r>
    </w:p>
    <w:p>
      <w:r>
        <w:rPr>
          <w:rFonts w:ascii="Courier New" w:hAnsi="Courier New"/>
          <w:sz w:val="17"/>
        </w:rPr>
        <w:t xml:space="preserve">Systementwurf    mit 12 Prozent,</w:t>
      </w:r>
    </w:p>
    <w:p>
      <w:r>
        <w:rPr>
          <w:rFonts w:ascii="Courier New" w:hAnsi="Courier New"/>
          <w:sz w:val="17"/>
        </w:rPr>
        <w:t xml:space="preserve">Funktions- und Systemanalyse    mit 12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nach Satz 1 ist ein Beschluss nach § 35a Absatz 1 Nummer 3 der Handwerksordnung zu fassen.</w:t>
      </w:r>
    </w:p>
    <w:p>
      <w:r>
        <w:rPr>
          <w:color w:val="555555"/>
          <w:sz w:val="17"/>
        </w:rPr>
        <w:t xml:space="preserve">Zitiervorschlag: § 15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