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ElbVwHHmbV</w:t>
      </w:r>
    </w:p>
    <w:p>
      <w:r>
        <w:rPr>
          <w:color w:val="555555"/>
          <w:sz w:val="18"/>
        </w:rPr>
        <w:t xml:space="preserve">Verordnung über die Verwaltung der Elbe und anderer Reichswasserstraßen durch die Hansestadt Hamburg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5 des Gesetzes über den Neuaufbau des Reichs vom 30. Januar 1934 (Reichsgesetzbl. I S. 75), des § 14 des Gesetzes über Groß-Hamburg und andere Gebietsbereinigungen vom 26. Januar 1937 (Reichsgesetzbl. I S. 91) und des § 14 des Gesetzes über die Verfassung und Verwaltung der Hansestadt Hamburg vom 9. Dezember 1937 (Reichsgesetzbl. I S. 1327) wird in Ergänzung der Verordnung über die Verwaltung der Elbe im Gebiet Groß-Hamburg vom 30. Juni 1937 (Reichsgesetzblatt I S. 727) verordnet:</w:t>
      </w:r>
    </w:p>
    <w:p>
      <w:r>
        <w:rPr>
          <w:color w:val="555555"/>
          <w:sz w:val="17"/>
        </w:rPr>
        <w:t xml:space="preserve">Zitiervorschlag: Eingangsformel ElbVwHHmbV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https://recht.nulegal.eu/gesetze/ElbVwHHmbV/eingangsformel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