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ElbVwHHmbV</w:t>
      </w:r>
    </w:p>
    <w:p>
      <w:r>
        <w:rPr>
          <w:color w:val="555555"/>
          <w:sz w:val="18"/>
        </w:rPr>
        <w:t xml:space="preserve">Verordnung über die Verwaltung der Elbe und anderer Reichswasserstraßen durch die Hansestadt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mit Wirkung vom 1. Januar 1939 in Kraft.</w:t>
      </w:r>
    </w:p>
    <w:p>
      <w:r>
        <w:t xml:space="preserve">(2) Der Reichsverkehrsminister erläßt die zur Durchführung ... dieser Verordnung erforderlichen Rechts- und Verwaltungsvorschriften.</w:t>
      </w:r>
    </w:p>
    <w:p>
      <w:r>
        <w:rPr>
          <w:color w:val="555555"/>
          <w:sz w:val="17"/>
        </w:rPr>
        <w:t xml:space="preserve">Zitiervorschlag: § 3 ElbVwHHmbV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https://recht.nulegal.eu/gesetze/ElbVwHHmbV/3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