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ElbVwHHmbV</w:t>
      </w:r>
    </w:p>
    <w:p>
      <w:r>
        <w:rPr>
          <w:color w:val="555555"/>
          <w:sz w:val="18"/>
        </w:rPr>
        <w:t xml:space="preserve">Verordnung über die Verwaltung der Elbe und anderer Reichswasserstraßen durch die Hansestadt Hamburg</w:t>
      </w:r>
    </w:p>
    <w:p>
      <w:r>
        <w:rPr>
          <w:color w:val="555555"/>
          <w:sz w:val="18"/>
        </w:rPr>
        <w:t xml:space="preserve">Stand: 10.06.2019 (konsolidierte Textfassung, kein amtliches Inkrafttretensdatum)</w:t>
      </w:r>
    </w:p>
    <w:p>
      <w:r>
        <w:t xml:space="preserve">Die nach dem Reichsgesetz vom 29. Juli 1921 (Reichsgesetzbl. S 961) vom Reich (Reichswasserstraßenverwaltung) übernommenen Wasserstraßen Köhlfleth einschließlich Kleine Elbe (mit Bullerinne) und Finkenwärder Aue gehen mit allen Rechten und Pflichten in das Eigentum und in die Verwaltung der Hansestadt Hamburg über.</w:t>
      </w:r>
    </w:p>
    <w:p>
      <w:r>
        <w:rPr>
          <w:color w:val="555555"/>
          <w:sz w:val="17"/>
        </w:rPr>
        <w:t xml:space="preserve">Zitiervorschlag: § 2 ElbVwHHmbV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https://recht.nulegal.eu/gesetze/ElbVwHHmbV/2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