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ElbVwGrHmbV</w:t>
      </w:r>
    </w:p>
    <w:p>
      <w:r>
        <w:rPr>
          <w:color w:val="555555"/>
          <w:sz w:val="18"/>
        </w:rPr>
        <w:t xml:space="preserve">Verordnung über die Verwaltung der Elbe im Gebiet Groß-Hamburg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Reichsverkehrsminister erläßt die zur Durchführung ... dieser Verordnung erforderlichen Rechts- und Verwaltungsvorschriften.</w:t>
      </w:r>
    </w:p>
    <w:p>
      <w:r>
        <w:rPr>
          <w:color w:val="555555"/>
          <w:sz w:val="17"/>
        </w:rPr>
        <w:t xml:space="preserve">Zitiervorschlag: § 3 ElbVwGrHmbV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https://recht.nulegal.eu/gesetze/ElbVwGrHmbV/3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