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ElbElstG (Brandenburg)</w:t>
      </w:r>
    </w:p>
    <w:p>
      <w:r>
        <w:rPr>
          <w:color w:val="555555"/>
          <w:sz w:val="18"/>
        </w:rPr>
        <w:t xml:space="preserve">Elbe-Elster-Gesetz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am Tage nach der Verkündung in Kraft.</w:t>
      </w:r>
    </w:p>
    <w:p>
      <w:r>
        <w:t xml:space="preserve">Potsdam, den 22. April 1993</w:t>
      </w:r>
    </w:p>
    <w:p>
      <w:r>
        <w:t xml:space="preserve">Der Präsident des Landtages Brandenburg</w:t>
      </w:r>
    </w:p>
    <w:p>
      <w:r>
        <w:t xml:space="preserve">Dr. Herbert Knoblich</w:t>
      </w:r>
    </w:p>
    <w:p>
      <w:r>
        <w:rPr>
          <w:color w:val="555555"/>
          <w:sz w:val="17"/>
        </w:rPr>
        <w:t xml:space="preserve">Zitiervorschlag: § 5 ElbElstG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https://recht.nulegal.eu/gesetze/ElbElstG/5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