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ElbElstG (Brandenburg)</w:t>
      </w:r>
    </w:p>
    <w:p>
      <w:r>
        <w:rPr>
          <w:color w:val="555555"/>
          <w:sz w:val="18"/>
        </w:rPr>
        <w:t xml:space="preserve">Elbe-Elster-Gesetz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Kreisname nach § 1 und der Kreissitz nach § 2 werden mit Ablauf des Tages der nächsten landesweiten Kreistagswahl rechtswirksam.</w:t>
      </w:r>
    </w:p>
    <w:p>
      <w:r>
        <w:rPr>
          <w:color w:val="555555"/>
          <w:sz w:val="17"/>
        </w:rPr>
        <w:t xml:space="preserve">Zitiervorschlag: § 4 ElbElstG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https://recht.nulegal.eu/gesetze/ElbElstG/4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