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ElbElstG (Brandenburg)</w:t>
      </w:r>
    </w:p>
    <w:p>
      <w:r>
        <w:rPr>
          <w:color w:val="555555"/>
          <w:sz w:val="18"/>
        </w:rPr>
        <w:t xml:space="preserve">Elbe-Elster-Gesetz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Elbe-Elster sollen den Städten Bad Liebenwerda und Finsterwalde, die infolge der Kreisgebietsreform die Eigenschaft als Kreissitz verlieren, einen angemessenen Ausgleich verschaffen.</w:t>
      </w:r>
    </w:p>
    <w:p>
      <w:r>
        <w:t xml:space="preserve">(2) Die Städte Bad Liebenwerda und Finsterwalde erhalten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Bad Liebenwerda eine zusätzliche Investitionspauschale in Höhe von 1 380 340 DM jährlich und</w:t>
      </w:r>
    </w:p>
    <w:p>
      <w:r>
        <w:t xml:space="preserve">die Stadt Finsterwalde eine zusätzliche Investitionspauschale in Höhe von 1 100 260 DM jährlich.</w:t>
      </w:r>
    </w:p>
    <w:p>
      <w:r>
        <w:rPr>
          <w:color w:val="555555"/>
          <w:sz w:val="17"/>
        </w:rPr>
        <w:t xml:space="preserve">Zitiervorschlag: § 3 ElbElstG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https://recht.nulegal.eu/gesetze/ElbElstG/3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