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EisAusbV</w:t>
      </w:r>
    </w:p>
    <w:p>
      <w:r>
        <w:rPr>
          <w:color w:val="555555"/>
          <w:sz w:val="18"/>
        </w:rPr>
        <w:t xml:space="preserve">Speiseeisfachkraftausbildungsverordnung</w:t>
      </w:r>
    </w:p>
    <w:p>
      <w:r>
        <w:rPr>
          <w:color w:val="555555"/>
          <w:sz w:val="18"/>
        </w:rPr>
        <w:t xml:space="preserve">Historische Fassung: Stand 10.06.2019 bis 01.08.2019. Dies ist nicht die aktuelle Fassung.</w:t>
      </w:r>
    </w:p>
    <w:p>
      <w:r>
        <w:t xml:space="preserve">Auf Grund des § 25 Absatz 1 der Handwerksordnung, der zuletzt durch Artikel 146 der Verordnung vom 31. Oktober 2006 (BGBl. I S. 2407) geändert worden ist, in Verbindung mit § 1 Absatz 2 des Zuständigkeitsanpassungsgesetzes vom 16. August 2002 (BGBl. I S. 3165) und dem Organisationserlass vom 17. Dezember 2013 (BGBl. I S. 4310) verordnet das Bundesministerium für Wirtschaft und Energie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EisAusbV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https://recht.nulegal.eu/gesetze/EisAusbV/eingangsformel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