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EisAusbV — Anrechnungsregelung</w:t>
      </w:r>
    </w:p>
    <w:p>
      <w:r>
        <w:rPr>
          <w:color w:val="555555"/>
          <w:sz w:val="18"/>
        </w:rPr>
        <w:t xml:space="preserve">Speiseeisfachkraftausbildungsverordnung</w:t>
      </w:r>
    </w:p>
    <w:p>
      <w:r>
        <w:rPr>
          <w:color w:val="555555"/>
          <w:sz w:val="18"/>
        </w:rPr>
        <w:t xml:space="preserve">Historische Fassung: Stand 10.06.2019 bis 01.08.2019. Dies ist nicht die aktuelle Fassung.</w:t>
      </w:r>
    </w:p>
    <w:p>
      <w:r>
        <w:t xml:space="preserve">Die erfolgreich abgeschlossene Berufsausbildung zum Speiseeishersteller und zur Speiseeisherstellerin sowie zur Fachkraft im Gastgewerbe kann unter Berücksichtigung der in der Ausbildung erworbenen Fertigkeiten, Kenntnisse und Fähigkeiten im Umfang von zwei Jahren auf die Dauer einer Berufsausbildung nach dieser Verordnung angerechnet werden. Die während der Berufsausbildung zur Fachkraft im Gastgewerbe abgelegte Zwischenprüfung steht einer Zwischenprüfung nach dieser Verordnung gleich.</w:t>
      </w:r>
    </w:p>
    <w:p>
      <w:r>
        <w:rPr>
          <w:color w:val="555555"/>
          <w:sz w:val="17"/>
        </w:rPr>
        <w:t xml:space="preserve">Zitiervorschlag: § 9 EisAusbV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https://recht.nulegal.eu/gesetze/EisAusbV/9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