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EisAusbV — Gewichtung der Prüfungsbereiche, Bestehen der Gesellenprüfung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Herstellen von Produkten    mit 40 Prozent,</w:t>
      </w:r>
    </w:p>
    <w:p>
      <w:r>
        <w:rPr>
          <w:rFonts w:ascii="Courier New" w:hAnsi="Courier New"/>
          <w:sz w:val="17"/>
        </w:rPr>
        <w:t xml:space="preserve">Kundenauftrag    mit 20 Prozent,</w:t>
      </w:r>
    </w:p>
    <w:p>
      <w:r>
        <w:rPr>
          <w:rFonts w:ascii="Courier New" w:hAnsi="Courier New"/>
          <w:sz w:val="17"/>
        </w:rPr>
        <w:t xml:space="preserve">Produktionstechnik und Hygiene    mit 20 Prozent,</w:t>
      </w:r>
    </w:p>
    <w:p>
      <w:r>
        <w:rPr>
          <w:rFonts w:ascii="Courier New" w:hAnsi="Courier New"/>
          <w:sz w:val="17"/>
        </w:rPr>
        <w:t xml:space="preserve">betriebswirtschaftliches Handeln    mit 10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r>
        <w:rPr>
          <w:rFonts w:ascii="Courier New" w:hAnsi="Courier New"/>
          <w:sz w:val="17"/>
        </w:rPr>
        <w:t xml:space="preserve">1.    im Gesamtergebnis mit mindestens „ausreichend“,</w:t>
      </w:r>
    </w:p>
    <w:p>
      <w:r>
        <w:rPr>
          <w:rFonts w:ascii="Courier New" w:hAnsi="Courier New"/>
          <w:sz w:val="17"/>
        </w:rPr>
        <w:t xml:space="preserve">2.    in mindestens vier Prüfungsbereichen mit mindestens „ausreichend“,</w:t>
      </w:r>
    </w:p>
    <w:p>
      <w:r>
        <w:rPr>
          <w:rFonts w:ascii="Courier New" w:hAnsi="Courier New"/>
          <w:sz w:val="17"/>
        </w:rPr>
        <w:t xml:space="preserve">3.    in keinem Prüfungsbereich mit „ungenügend“.</w:t>
      </w:r>
    </w:p>
    <w:p>
      <w:r>
        <w:t xml:space="preserve">(3) Auf Antrag des Prüflings ist die Prüfung in einem der Prüfungsbereiche „Produktionstechnik und Hygiene“, „betriebswirtschaftliches Handeln“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8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