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EisAusbV — Ausbildungsrahmenplan</w:t>
      </w:r>
    </w:p>
    <w:p>
      <w:r>
        <w:rPr>
          <w:color w:val="555555"/>
          <w:sz w:val="18"/>
        </w:rPr>
        <w:t xml:space="preserve">Speiseeisfachkraftausbildungsverordnung</w:t>
      </w:r>
    </w:p>
    <w:p>
      <w:r>
        <w:rPr>
          <w:color w:val="555555"/>
          <w:sz w:val="18"/>
        </w:rPr>
        <w:t xml:space="preserve">Historische Fassung: Stand 10.06.2019 bis 01.08.2019. Dies ist nicht die aktuelle Fassung.</w:t>
      </w:r>
    </w:p>
    <w:p>
      <w:r>
        <w:t xml:space="preserve">(1) Gegenstand der Berufsausbildung sind mindestens die im Ausbildungsrahmenplan (Anlage) genannten Fertigkeiten, Kenntnisse und Fähigkeiten (berufliche Handlungsfähigkeit).</w:t>
      </w:r>
    </w:p>
    <w:p>
      <w:r>
        <w:t xml:space="preserve">(2) Eine vom Ausbildungsrahmenplan abweichende Organisation der Ausbildung ist insbesondere dann zulässig, wenn betriebspraktische Besonderheiten die Abweichung erfordern.</w:t>
      </w:r>
    </w:p>
    <w:p>
      <w:r>
        <w:rPr>
          <w:color w:val="555555"/>
          <w:sz w:val="17"/>
        </w:rPr>
        <w:t xml:space="preserve">Zitiervorschlag: § 3 EisAusbV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https://recht.nulegal.eu/gesetze/EisAusbV/3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