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EisAusbV — Staatliche Anerkennung des Ausbildungsberufes</w:t>
      </w:r>
    </w:p>
    <w:p>
      <w:r>
        <w:rPr>
          <w:color w:val="555555"/>
          <w:sz w:val="18"/>
        </w:rPr>
        <w:t xml:space="preserve">Speiseeisfachkraftausbildungsverordnung</w:t>
      </w:r>
    </w:p>
    <w:p>
      <w:r>
        <w:rPr>
          <w:color w:val="555555"/>
          <w:sz w:val="18"/>
        </w:rPr>
        <w:t xml:space="preserve">Historische Fassung: Stand 10.06.2019 bis 01.08.2019. Dies ist nicht die aktuelle Fassung.</w:t>
      </w:r>
    </w:p>
    <w:p>
      <w:r>
        <w:t xml:space="preserve">Der Ausbildungsberuf der Fachkraft für Speiseeis wird nach § 25 der Handwerksordnung zur Ausbildung für das Gewerbe der Anlage B Abschnitt 2 Nummer 42 Speiseeishersteller (mit Vertrieb von Speiseeis mit üblichem Zubehör) der Handwerksordnung staatlich anerkannt.</w:t>
      </w:r>
    </w:p>
    <w:p>
      <w:r>
        <w:rPr>
          <w:color w:val="555555"/>
          <w:sz w:val="17"/>
        </w:rPr>
        <w:t xml:space="preserve">Zitiervorschlag: § 1 EisAusbV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https://recht.nulegal.eu/gesetze/EisAusbV/1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