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EinwV — Maßnahmen zur Neutralität</w:t>
      </w:r>
    </w:p>
    <w:p>
      <w:r>
        <w:rPr>
          <w:color w:val="555555"/>
          <w:sz w:val="18"/>
        </w:rPr>
        <w:t xml:space="preserve">Einwilligungsverwaltungsverordnung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Anbieter von digitalen Diensten sowie Hersteller und Anbieter von Abruf- und Darstellungssoftware, die einen anerkannten Dienst zur Einwilligungsverwaltung einbinden, sollen nicht ohne sachlichen Grund darauf hinwirken, dass Endnutzer bestimmte anerkannte Dienste zur Einwilligungsverwaltung anwenden oder ausschließen.</w:t>
      </w:r>
    </w:p>
    <w:p>
      <w:r>
        <w:rPr>
          <w:color w:val="555555"/>
          <w:sz w:val="17"/>
        </w:rPr>
        <w:t xml:space="preserve">Zitiervorschlag: § 20 EinwV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https://recht.nulegal.eu/gesetze/EinwV/20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