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EinwV — Begriffsbestimmungen</w:t>
      </w:r>
    </w:p>
    <w:p>
      <w:r>
        <w:rPr>
          <w:color w:val="555555"/>
          <w:sz w:val="18"/>
        </w:rPr>
        <w:t xml:space="preserve">Einwilligungsverwaltungsverordnung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Im Sinne dieser Rechtsverordnung ist oder sind</w:t>
      </w:r>
    </w:p>
    <w:p>
      <w:pPr>
        <w:ind w:left="420"/>
      </w:pPr>
      <w:r>
        <w:t xml:space="preserve">1. „Dienst zur Einwilligungsverwaltung“ eine informationstechnische Anwendung oder ein digitaler Dienst, die oder der es Endnutzern ermöglicht, die Einstellungen der Endnutzer zu verwalten; die Verwaltung umfasst das Speichern, Übermitteln und Widerrufen der Einstellungen der Endnutzer,</w:t>
      </w:r>
    </w:p>
    <w:p>
      <w:pPr>
        <w:ind w:left="420"/>
      </w:pPr>
      <w:r>
        <w:t xml:space="preserve">2. „anerkannter Dienst zur Einwilligungsverwaltung“ ein Dienst zur Einwilligungsverwaltung, der von der zuständigen Stelle anerkannt ist,</w:t>
      </w:r>
    </w:p>
    <w:p>
      <w:pPr>
        <w:ind w:left="420"/>
      </w:pPr>
      <w:r>
        <w:t xml:space="preserve">3. „Abruf- und Darstellungssoftware“ eine Software zum Abrufen und Darstellen von Informationen aus dem Internet; dies umfasst alle Programme und Anwendungen, über die Inhalte aus dem Internet abgerufen und dargestellt werden und die keine digitalen Dienste im Sinne des § 1 Absatz 4 Nummer 1 des Digitale-Dienste-Gesetzes sind,</w:t>
      </w:r>
    </w:p>
    <w:p>
      <w:pPr>
        <w:ind w:left="420"/>
      </w:pPr>
      <w:r>
        <w:t xml:space="preserve">4. „Einstellungen der Endnutzer“ die Entscheidung des Endnutzers zur Erteilung oder Nichterteilung einer Einwilligung nach § 25 Absatz 1 des Telekommunikation-Digitale-Dienste-Datenschutz-Gesetzes gegenüber Anbietern von digitalen Diensten oder Dritten, die Informationen in seiner Endeinrichtung speichern oder auf dort bereits gespeicherte Informationen zugreifen wollen.</w:t>
      </w:r>
    </w:p>
    <w:p>
      <w:r>
        <w:t xml:space="preserve">(2) Im Übrigen gelten die Begriffsbestimmungen des § 2 des Telekommunikation-Digitale-Dienste-Datenschutz-Gesetzes.</w:t>
      </w:r>
    </w:p>
    <w:p>
      <w:r>
        <w:rPr>
          <w:color w:val="555555"/>
          <w:sz w:val="17"/>
        </w:rPr>
        <w:t xml:space="preserve">Zitiervorschlag: § 2 EinwV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https://recht.nulegal.eu/gesetze/EinwV/2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