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EinwV — Maßnahmen durch Anbieter von digitalen Diensten zur Einbindung von anerkannten Diensten zur Einwilligungsverwaltung</w:t>
      </w:r>
    </w:p>
    <w:p>
      <w:r>
        <w:rPr>
          <w:color w:val="555555"/>
          <w:sz w:val="18"/>
        </w:rPr>
        <w:t xml:space="preserve">Einwilligungsverwaltungsverordnung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(1) Die Einbindung von anerkannten Diensten zur Einwilligungsverwaltung durch Anbieter von digitalen Diensten erfolgt freiwillig.</w:t>
      </w:r>
    </w:p>
    <w:p>
      <w:r>
        <w:t xml:space="preserve">(2) Anbieter von digitalen Diensten, die einen anerkannten Dienst zur Einwilligungsverwaltung einbinden und über diesen die Einstellungen der Endnutzer zu ihren Einwilligungen nach § 25 Absatz 1 des Telekommunikation-Digitale-Dienste-Datenschutz-Gesetzes nachfragen, sollen durch technische und organisatorische Maßnahmen nach dem Stand der Technik dafür Sorge tragen, dass</w:t>
      </w:r>
    </w:p>
    <w:p>
      <w:pPr>
        <w:ind w:left="420"/>
      </w:pPr>
      <w:r>
        <w:t xml:space="preserve">1. die Einbindung eines anerkannten Dienstes zur Einwilligungsverwaltung durch den Endnutzer bei dem Aufruf ihres digitalen Dienstes berücksichtigt wird und</w:t>
      </w:r>
    </w:p>
    <w:p>
      <w:pPr>
        <w:ind w:left="420"/>
      </w:pPr>
      <w:r>
        <w:t xml:space="preserve">2. überprüft wird, ob Einstellungen der Endnutzer zu den nachgefragten Einwilligungen des Anbieters von digitalen Diensten beim anerkannten Dienst zur Einwilligungsverwaltung verwaltet werden.</w:t>
      </w:r>
    </w:p>
    <w:p>
      <w:r>
        <w:t xml:space="preserve">(3) Anbieter von digitalen Diensten, die einen anerkannten Dienst zur Einwilligungsverwaltung einbinden, sollen</w:t>
      </w:r>
    </w:p>
    <w:p>
      <w:pPr>
        <w:ind w:left="420"/>
      </w:pPr>
      <w:r>
        <w:t xml:space="preserve">1. es ermöglichen, dass die von ihnen nachgefragten Einwilligungen nach § 25 Absatz 1 des Telekommunikation-Digitale-Dienste-Datenschutz-Gesetzes und die hierzu getroffenen Einstellungen der Endnutzer durch den eingebundenen anerkannten Dienst zur Einwilligungsverwaltung gespeichert werden können,</w:t>
      </w:r>
    </w:p>
    <w:p>
      <w:pPr>
        <w:ind w:left="420"/>
      </w:pPr>
      <w:r>
        <w:t xml:space="preserve">2. die Endnutzer an sichtbarer und geeigneter Stelle darauf hinweisen, dass der angebotene digitale Dienst anerkannte Dienste zur Einwilligungsverwaltung einbindet und die dort verwalteten Einstelllungen der Endnutzer berücksichtigt,</w:t>
      </w:r>
    </w:p>
    <w:p>
      <w:pPr>
        <w:ind w:left="420"/>
      </w:pPr>
      <w:r>
        <w:t xml:space="preserve">3. mit dem anerkannten Dienst zur Einwilligungsverwaltung zur Umsetzung der Vorgaben des § 7 zusammenwirken und</w:t>
      </w:r>
    </w:p>
    <w:p>
      <w:pPr>
        <w:ind w:left="420"/>
      </w:pPr>
      <w:r>
        <w:t xml:space="preserve">4. dem anerkannten Dienst zur Einwilligungsverwaltung die nach den Artikeln 7 und 12 bis 14 der Verordnung (EU) 2016/679 erforderlichen Informationen in einem maschinenlesbaren Format zur Verfügung stellen.</w:t>
      </w:r>
    </w:p>
    <w:p>
      <w:r>
        <w:rPr>
          <w:color w:val="555555"/>
          <w:sz w:val="17"/>
        </w:rPr>
        <w:t xml:space="preserve">Zitiervorschlag: § 18 EinwV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https://recht.nulegal.eu/gesetze/EinwV/18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