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EinwV — Anerkennungsvoraussetzungen</w:t>
      </w:r>
    </w:p>
    <w:p>
      <w:r>
        <w:rPr>
          <w:color w:val="555555"/>
          <w:sz w:val="18"/>
        </w:rPr>
        <w:t xml:space="preserve">Einwilligungsverwaltungsverordnung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Ein Dienst zur Einwilligungsverwaltung wird auf Antrag anerkannt, wenn er</w:t>
      </w:r>
    </w:p>
    <w:p>
      <w:pPr>
        <w:ind w:left="420"/>
      </w:pPr>
      <w:r>
        <w:t xml:space="preserve">1. die Anforderungen des Teils 2 erfüllt und</w:t>
      </w:r>
    </w:p>
    <w:p>
      <w:pPr>
        <w:ind w:left="420"/>
      </w:pPr>
      <w:r>
        <w:t xml:space="preserve">2. ein Sicherheitskonzept nach § 12 vorgelegt hat.</w:t>
      </w:r>
    </w:p>
    <w:p>
      <w:r>
        <w:rPr>
          <w:color w:val="555555"/>
          <w:sz w:val="17"/>
        </w:rPr>
        <w:t xml:space="preserve">Zitiervorschlag: § 10 EinwV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https://recht.nulegal.eu/gesetze/EinwV/10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