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EinsatzWVG — Versorgung der Soldatinnen und Soldaten und ihrer Hinterbliebenen</w:t>
      </w:r>
    </w:p>
    <w:p>
      <w:r>
        <w:rPr>
          <w:color w:val="555555"/>
          <w:sz w:val="18"/>
        </w:rPr>
        <w:t xml:space="preserve">Einsatz-Weiterverwendungsgesetz</w:t>
      </w:r>
    </w:p>
    <w:p>
      <w:r>
        <w:rPr>
          <w:color w:val="555555"/>
          <w:sz w:val="18"/>
        </w:rPr>
        <w:t xml:space="preserve">Stand: 01.01.2025 (konsolidierte Textfassung, kein amtliches Inkrafttretensdatum)</w:t>
      </w:r>
    </w:p>
    <w:p>
      <w:r>
        <w:t xml:space="preserve">(1) Im Falle einer Weiterverwendung nach § 7 oder § 8 entfallen die Ansprüche auf Berufsförderung und Dienstzeitversorgung nach Teil 2 Abschnitt 1 des Soldatenversorgungsgesetzes.</w:t>
      </w:r>
    </w:p>
    <w:p>
      <w:r>
        <w:t xml:space="preserve">(2) Die Versorgung Einsatzgeschädigter nach § 1 Nummer 1, die sich in einer Schutzzeit nach § 4 befinden und nicht nach § 7 oder § 8 weiterverwendet werden, sowie ihrer Hinterbliebenen richtet sich nach dem Soldatenversorgungsgesetz mit folgenden Maßgaben:</w:t>
      </w:r>
    </w:p>
    <w:p>
      <w:pPr>
        <w:ind w:left="420"/>
      </w:pPr>
      <w:r>
        <w:t xml:space="preserve">1. Wer aus einem Dienstverhältnis als Soldatin auf Zeit oder Soldat auf Zeit nach § 6 in ein Wehrdienstverhältnis besonderer Art eintritt, erhält die Leistungen der Berufsförderung und Dienstzeitversorgung nach Teil 2 Abschnitt 1 des Soldatenversorgungsgesetzes, die bei Beendigung des Wehrdienstverhältnisses durch Zeitablauf zustehen, erst, wenn auch das Wehrdienstverhältnis besonderer Art endet.</w:t>
      </w:r>
    </w:p>
    <w:p>
      <w:pPr>
        <w:ind w:left="420"/>
      </w:pPr>
      <w:r>
        <w:t xml:space="preserve">2. Wer nach § 6 in ein Wehrdienstverhältnis besonderer Art eintritt, erwirbt dadurch keine Ansprüche auf Berufsförderung und Dienstzeitversorgung. Zeiten in einem Wehrdienstverhältnis besonderer Art führen nicht zur Eingliederungsberechtigung nach den §§ 13 und 14 des Soldatenversorgungsgesetzes.</w:t>
      </w:r>
    </w:p>
    <w:p>
      <w:pPr>
        <w:ind w:left="420"/>
      </w:pPr>
      <w:r>
        <w:t xml:space="preserve">3. Durch ein Wehrdienstverhältnis besonderer Art nach § 6 ist der Anspruch auf Freistellung vom militärischen Dienst nach § 7 Absatz 6 des Soldatenversorgungsgesetzes in der bis einschließlich 25. Juli 2012 geltenden Fassung unabhängig von seiner Dauer abgegolten und die Gesamtförderungsdauer nach § 7 Absatz 5 des Soldatenversorgungsgesetzes entsprechend herabgesetzt.</w:t>
      </w:r>
    </w:p>
    <w:p>
      <w:pPr>
        <w:ind w:left="420"/>
      </w:pPr>
      <w:r>
        <w:t xml:space="preserve">4. Endet die Schutzzeit nach § 4 bei einer Soldatin auf Zeit oder einem Soldaten auf Zeit vor Ablauf der Zeit, für die sie oder er in das Dienstverhältnis berufen ist, und wurden während der Schutzzeit berufliche Qualifikationen im Sinne des § 7 Absatz 7 bis 11 des Soldatenversorgungsgesetzes erworben, vermindern sich der Anspruch auf Freistellung vom militärischen Dienst nach § 7 Absatz 6 des Soldatenversorgungsgesetzes in der bis einschließlich 25. Juli 2012 geltenden Fassung und die Gesamtförderungsdauer nach § 7 Absatz 5 des Soldatenversorgungsgesetzes entsprechend.</w:t>
      </w:r>
    </w:p>
    <w:p>
      <w:pPr>
        <w:ind w:left="420"/>
      </w:pPr>
      <w:r>
        <w:t xml:space="preserve">5. § 57 des Soldatenversorgungsgesetzes ist auf die Hinterbliebenen der Einsatzgeschädigten nach § 1 Nummer 1, die während der Schutzzeit nach § 4 verstorben sind, unbeachtlich einer Wehrdienstzeit von mindestens sechs Jahren und hinsichtlich der Dauer unbeachtlich des Anspruchs auf Übergangsgebührnisse entsprechend anzuwenden.</w:t>
      </w:r>
    </w:p>
    <w:p>
      <w:pPr>
        <w:ind w:left="420"/>
      </w:pPr>
      <w:r>
        <w:t xml:space="preserve">6. § 83 Absatz 1 des Soldatenversorgungsgesetzes gilt entsprechend für Einsatzgeschädigte nach § 1 Nummer 1, deren Wehrdienstverhältnis besonderer Art anders als durch eine Berufung nach § 7 Absatz 1 oder § 8 Absatz 1 Satz 1 Nummer 1 oder durch eine Einstellung nach § 8 Absatz 1 Satz 1 Nummer 2 geendet hat, und für die Hinterbliebenen der Einsatzgeschädigten nach § 1 Nummer 1, die während des Wehrdienstverhältnisses besonderer Art verstorben sind.</w:t>
      </w:r>
    </w:p>
    <w:p>
      <w:r>
        <w:rPr>
          <w:color w:val="555555"/>
          <w:sz w:val="17"/>
        </w:rPr>
        <w:t xml:space="preserve">Zitiervorschlag: § 9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