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EinsatzWVG — Einbeziehung in Personalauswahlentscheidungen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Der Bezug von Leistungen nach § 4 Absatz 1 Satz 1 darf nicht zur Beeinträchtigung des Werdegangs der Einsatzgeschädigten nach § 1 Nummer 1 bis 4 führen. Diese sind während der Schutzzeit in Personalauswahlentscheidungen einzubeziehen.</w:t>
      </w:r>
    </w:p>
    <w:p>
      <w:r>
        <w:t xml:space="preserve">(2) Absatz 1 gilt bei Einsatzgeschädigten nach § 2 Absatz 2 Satz 1 auch für deren zivilberuflichen Werdegang beim Bund.</w:t>
      </w:r>
    </w:p>
    <w:p>
      <w:r>
        <w:rPr>
          <w:color w:val="555555"/>
          <w:sz w:val="17"/>
        </w:rPr>
        <w:t xml:space="preserve">Zitiervorschlag: § 5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