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EinsatzWVG — Schutzzeit</w:t>
      </w:r>
    </w:p>
    <w:p>
      <w:r>
        <w:rPr>
          <w:color w:val="555555"/>
          <w:sz w:val="18"/>
        </w:rPr>
        <w:t xml:space="preserve">Einsatz-Weiterverwendungsgesetz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Schutzzeit im Sinne dieses Gesetzes ist die Zeit, in der Einsatzgeschädigte</w:t>
      </w:r>
    </w:p>
    <w:p>
      <w:pPr>
        <w:ind w:left="420"/>
      </w:pPr>
      <w:r>
        <w:t xml:space="preserve">1. medizinische Leistungen zur Behandlung der gesundheitlichen Schädigung oder</w:t>
      </w:r>
    </w:p>
    <w:p>
      <w:pPr>
        <w:ind w:left="420"/>
      </w:pPr>
      <w:r>
        <w:t xml:space="preserve">2. Leistungen zur beruflichen Qualifizierung nach § 3 oder anderen Gesetzen</w:t>
      </w:r>
    </w:p>
    <w:p>
      <w:r>
        <w:t xml:space="preserve">benötigen, um die Aufnahme der bisherigen beruflichen Tätigkeit, eine Weiterverwendung nach diesem Gesetz oder eine sonstige Eingliederung in das Arbeitsleben zu erreichen. Die Schutzzeit beginnt mit der Feststellung des Einsatzunfalls.</w:t>
      </w:r>
    </w:p>
    <w:p>
      <w:r>
        <w:t xml:space="preserve">(2) Während der Schutzzeit dürfen</w:t>
      </w:r>
    </w:p>
    <w:p>
      <w:pPr>
        <w:ind w:left="420"/>
      </w:pPr>
      <w:r>
        <w:t xml:space="preserve">1. Einsatzgeschädigte nach § 1 Nummer 1 bis 3 oder 5, die in einem öffentlich-rechtlichen Dienstverhältnis zum Bund stehen, wegen durch den Einsatzunfall bedingter Dienstunfähigkeit nur auf eigenen Antrag in den Ruhestand versetzt oder entlassen werden, wobei § 34 Absatz 1 Satz 1 Nummer 2 des Bundesbeamtengesetzes bei mangelnder Bewährung wegen allein fehlender gesundheitlicher Eignung, die auf dem Einsatzunfall beruht, nicht anzuwenden ist, und</w:t>
      </w:r>
    </w:p>
    <w:p>
      <w:pPr>
        <w:ind w:left="420"/>
      </w:pPr>
      <w:r>
        <w:t xml:space="preserve">2. die Arbeitsverhältnisse von Einsatzgeschädigten nach § 1 Nummer 4 oder 5 mit dem Bund nicht wegen der durch den Einsatzunfall bedingten Arbeitsunfähigkeit gekündigt werden.</w:t>
      </w:r>
    </w:p>
    <w:p>
      <w:r>
        <w:t xml:space="preserve">(3) Die Schutzzeit endet mit der Feststellung, dass die Ziele nach Absatz 1</w:t>
      </w:r>
    </w:p>
    <w:p>
      <w:pPr>
        <w:ind w:left="420"/>
      </w:pPr>
      <w:r>
        <w:t xml:space="preserve">1. erreicht sind oder</w:t>
      </w:r>
    </w:p>
    <w:p>
      <w:pPr>
        <w:ind w:left="420"/>
      </w:pPr>
      <w:r>
        <w:t xml:space="preserve">2. voraussichtlich nicht mehr erreicht werden können.</w:t>
      </w:r>
    </w:p>
    <w:p>
      <w:r>
        <w:t xml:space="preserve">Außer in den Fällen des § 3 Absatz 3 Satz 3 endet die Schutzzeit spätestens fünf Jahre nach Beginn des Bezugs von Leistungen nach § 3. Sie kann um bis zu drei Jahre verlängert werden, wenn festgestellt wird, dass in dieser Zeit das Erreichen der Ziele nach Absatz 1 zu erwarten ist. Sie endet in jedem Fall spätestens mit Ablauf des Monats, in dem die oder der Einsatzgeschädigte das 65. Lebensjahr vollendet.</w:t>
      </w:r>
    </w:p>
    <w:p>
      <w:r>
        <w:t xml:space="preserve">(4) Die Feststellungen nach Absatz 3 Satz 1 und 3 trifft die Stelle, die für die Kündigung, Entlassung oder Versetzung in den Ruhestand zuständig ist. Für Einsatzgeschädigte nach § 1 Nummer 5 trifft die Feststellung die Bundesanstalt Technisches Hilfswerk.</w:t>
      </w:r>
    </w:p>
    <w:p>
      <w:r>
        <w:rPr>
          <w:color w:val="555555"/>
          <w:sz w:val="17"/>
        </w:rPr>
        <w:t xml:space="preserve">Zitiervorschlag: § 4 EinsatzWVG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https://recht.nulegal.eu/gesetze/EinsatzWVG/4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