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EinsatzWVG — Bezugspersonen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Bezugspersonen, deren Einbeziehung in die Therapie Einsatzgeschädigter medizinisch indiziert ist, haben Anspruch auf Erstattung folgender Aufwendungen, soweit diese notwendig waren:</w:t>
      </w:r>
    </w:p>
    <w:p>
      <w:pPr>
        <w:ind w:left="420"/>
      </w:pPr>
      <w:r>
        <w:t xml:space="preserve">1. Fahrtkosten für die Hin- und Rückreise in entsprechender Anwendung der §§ 4 und 5 des Bundesreisekostengesetzes,</w:t>
      </w:r>
    </w:p>
    <w:p>
      <w:pPr>
        <w:ind w:left="420"/>
      </w:pPr>
      <w:r>
        <w:t xml:space="preserve">2. Unterbringungskosten einschließlich Kurtaxe,</w:t>
      </w:r>
    </w:p>
    <w:p>
      <w:pPr>
        <w:ind w:left="420"/>
      </w:pPr>
      <w:r>
        <w:t xml:space="preserve">3. Mehraufwendungen für Verpflegung in Höhe der Pauschbeträge nach § 9 Absatz 4a des Einkommensteuergesetzes und</w:t>
      </w:r>
    </w:p>
    <w:p>
      <w:pPr>
        <w:ind w:left="420"/>
      </w:pPr>
      <w:r>
        <w:t xml:space="preserve">4. Aufwendungen für Kinderbetreuung.</w:t>
      </w:r>
    </w:p>
    <w:p>
      <w:r>
        <w:t xml:space="preserve">Bezugspersonen sind:</w:t>
      </w:r>
    </w:p>
    <w:p>
      <w:pPr>
        <w:ind w:left="420"/>
      </w:pPr>
      <w:r>
        <w:t xml:space="preserve">1. Verwandte ersten Grades,</w:t>
      </w:r>
    </w:p>
    <w:p>
      <w:pPr>
        <w:ind w:left="420"/>
      </w:pPr>
      <w:r>
        <w:t xml:space="preserve">2. die Ehegattin oder der Ehegatte,</w:t>
      </w:r>
    </w:p>
    <w:p>
      <w:pPr>
        <w:ind w:left="420"/>
      </w:pPr>
      <w:r>
        <w:t xml:space="preserve">3. die Lebenspartnerin oder der Lebenspartner,</w:t>
      </w:r>
    </w:p>
    <w:p>
      <w:pPr>
        <w:ind w:left="420"/>
      </w:pPr>
      <w:r>
        <w:t xml:space="preserve">4. die Lebensgefährtin oder der Lebensgefährte, sofern sie oder er mit dem oder der Einsatzgeschädigten in häuslicher Gemeinschaft lebt.</w:t>
      </w:r>
    </w:p>
    <w:p>
      <w:r>
        <w:t xml:space="preserve">(2) Bei stationären Rehabilitationsmaßnahmen werden die Aufwendungen für eine Bezugsperson für bis zu drei Maßnahmen von jeweils höchstens dreiwöchiger Dauer erstattet.</w:t>
      </w:r>
    </w:p>
    <w:p>
      <w:r>
        <w:rPr>
          <w:color w:val="555555"/>
          <w:sz w:val="17"/>
        </w:rPr>
        <w:t xml:space="preserve">Zitiervorschlag: § 20a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