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EinsatzWVG — Anwendungsbereich</w:t>
      </w:r>
    </w:p>
    <w:p>
      <w:r>
        <w:rPr>
          <w:color w:val="555555"/>
          <w:sz w:val="18"/>
        </w:rPr>
        <w:t xml:space="preserve">Einsatz-Weiterverwendungsgesetz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Dieses Gesetz gilt entsprechend für Einsatzgeschädigte, die zur Ausübung einer Tätigkeit, die öffentlichen Belangen oder dienstlichen Interessen dient, beurlaubt worden sind und bei oder infolge dieser Tätigkeit einen Einsatzunfall nach § 1 erlitten haben.</w:t>
      </w:r>
    </w:p>
    <w:p>
      <w:r>
        <w:t xml:space="preserve">(2) Einsatzgeschädigte nach § 1 Nummer 1, die zugleich unter § 1 Nummer 2, 3 oder 4 fallen, gelten für die Anwendung dieses Gesetzes ausschließlich als Einsatzgeschädigte nach § 1 Nummer 1, wenn sie den Einsatzunfall in einem Wehrdienstverhältnis erlitten haben. Haben Einsatzgeschädigte nach § 1 Nummer 1 bis 4 den Einsatzunfall in einem Dienstverhältnis nach dem THW-Gesetz erlitten, sind auf sie die für Einsatzgeschädigte nach § 1 Nummer 5 geltenden Vorschriften anzuwenden.</w:t>
      </w:r>
    </w:p>
    <w:p>
      <w:r>
        <w:t xml:space="preserve">(3) § 87 Absatz 7 des Soldatenversorgungsgesetzes und § 31a Absatz 4 des Beamtenversorgungsgesetzes gelten entsprechend.</w:t>
      </w:r>
    </w:p>
    <w:p>
      <w:r>
        <w:rPr>
          <w:color w:val="555555"/>
          <w:sz w:val="17"/>
        </w:rPr>
        <w:t xml:space="preserve">Zitiervorschlag: § 2 EinsatzWVG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https://recht.nulegal.eu/gesetze/EinsatzWVG/2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