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EinsatzWVG — Entschädigung</w:t>
      </w:r>
    </w:p>
    <w:p>
      <w:r>
        <w:rPr>
          <w:color w:val="555555"/>
          <w:sz w:val="18"/>
        </w:rPr>
        <w:t xml:space="preserve">Einsatz-Weiterverwendungsgesetz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(1) Einsatzgeschädigte nach § 1 Nummer 5 erhalten von der Bundesanstalt Technisches Hilfswerk auf Antrag für die Dauer der Schutzzeit eine Entschädigung in Höhe</w:t>
      </w:r>
    </w:p>
    <w:p>
      <w:pPr>
        <w:ind w:left="420"/>
      </w:pPr>
      <w:r>
        <w:t xml:space="preserve">1. des Verletztengeldes nach § 47 des Siebten Buches Sozialgesetzbuch, wenn ihr Dienstherr oder Arbeitgeber das Dienst- oder Arbeitsverhältnis aufgrund des Einsatzunfalls beendet,</w:t>
      </w:r>
    </w:p>
    <w:p>
      <w:pPr>
        <w:ind w:left="420"/>
      </w:pPr>
      <w:r>
        <w:t xml:space="preserve">2. des Verdienstausfalls nach § 3 Absatz 3 Satz 2 und 3 des THW-Gesetzes, der ihnen als beruflich selbstständigen Helferinnen oder Helfern infolge des Einsatzunfalls entsteht, oder</w:t>
      </w:r>
    </w:p>
    <w:p>
      <w:pPr>
        <w:ind w:left="420"/>
      </w:pPr>
      <w:r>
        <w:t xml:space="preserve">3. der nach § 3 Absatz 4 des THW-Gesetzes fortzugewährenden Leistungen, soweit ihnen Leistungen der Bundesagentur für Arbeit, Sozialhilfe sowie sonstige Unterstützungen oder Bezüge aus öffentlichen Mitteln infolge des Einsatzunfalls nicht fortgewährt werden.</w:t>
      </w:r>
    </w:p>
    <w:p>
      <w:r>
        <w:t xml:space="preserve">(2) Beeinträchtigt der Bezug von Leistungen nach § 4 Absatz 1 Satz 1 den beruflichen Werdegang von Einsatzgeschädigten nach § 1 Nummer 5, erhalten diese einen angemessenen Ausgleich ihrer Nachteile von der Bundesanstalt Technisches Hilfswerk.</w:t>
      </w:r>
    </w:p>
    <w:p>
      <w:r>
        <w:rPr>
          <w:color w:val="555555"/>
          <w:sz w:val="17"/>
        </w:rPr>
        <w:t xml:space="preserve">Zitiervorschlag: § 18 EinsatzWVG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https://recht.nulegal.eu/gesetze/EinsatzWVG/18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