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EinsatzWVG — Befristete Arbeitsverhältnisse</w:t>
      </w:r>
    </w:p>
    <w:p>
      <w:r>
        <w:rPr>
          <w:color w:val="555555"/>
          <w:sz w:val="18"/>
        </w:rPr>
        <w:t xml:space="preserve">Einsatz-Weiterverwendungsgesetz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Einsatzgeschädigte nach § 1 Nummer 4, deren Erwerbsfähigkeit infolge des Einsatzunfalls am Ende der Schutzzeit um mindestens 30 Prozent gemindert ist, können eine an das befristete Arbeitsverhältnis unmittelbar anschließende Weiterverwendung entsprechend § 8 beanspruchen. Erfolgt die Weiterverwendung in einem Arbeitsverhältnis, gilt § 14 Satz 3 entsprechend.</w:t>
      </w:r>
    </w:p>
    <w:p>
      <w:r>
        <w:rPr>
          <w:color w:val="555555"/>
          <w:sz w:val="17"/>
        </w:rPr>
        <w:t xml:space="preserve">Zitiervorschlag: § 15 EinsatzWVG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https://recht.nulegal.eu/gesetze/EinsatzWVG/15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