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EinsatzWVG — Begriffsbestimmung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Einsatzgeschädigte im Sinne dieses Gesetzes sind</w:t>
      </w:r>
    </w:p>
    <w:p>
      <w:pPr>
        <w:ind w:left="420"/>
      </w:pPr>
      <w:r>
        <w:t xml:space="preserve">1. Soldatinnen und Soldaten,</w:t>
      </w:r>
    </w:p>
    <w:p>
      <w:pPr>
        <w:ind w:left="420"/>
      </w:pPr>
      <w:r>
        <w:t xml:space="preserve">2. Beamtinnen und Beamte des Bundes,</w:t>
      </w:r>
    </w:p>
    <w:p>
      <w:pPr>
        <w:ind w:left="420"/>
      </w:pPr>
      <w:r>
        <w:t xml:space="preserve">3. Richterinnen und Richter des Bundes,</w:t>
      </w:r>
    </w:p>
    <w:p>
      <w:pPr>
        <w:ind w:left="420"/>
      </w:pPr>
      <w:r>
        <w:t xml:space="preserve">4. Arbeitnehmerinnen und Arbeitnehmer des Bundes, mit Ausnahme der bei deutschen Dienststellen im Ausland eingestellten Ortskräfte, sowie</w:t>
      </w:r>
    </w:p>
    <w:p>
      <w:pPr>
        <w:ind w:left="420"/>
      </w:pPr>
      <w:r>
        <w:t xml:space="preserve">5. Helferinnen und Helfer des Technischen Hilfswerks nach § 2 Absatz 1 des THW-Gesetzes,</w:t>
      </w:r>
    </w:p>
    <w:p>
      <w:r>
        <w:t xml:space="preserve">die eine nicht nur geringfügige gesundheitliche Schädigung durch einen Einsatzunfall im Sinne von § 87 des Soldatenversorgungsgesetzes oder § 31a des Beamtenversorgungsgesetzes erlitten haben.</w:t>
      </w:r>
    </w:p>
    <w:p>
      <w:r>
        <w:rPr>
          <w:color w:val="555555"/>
          <w:sz w:val="17"/>
        </w:rPr>
        <w:t xml:space="preserve">Zitiervorschlag: § 1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