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EinsatzUV</w:t>
      </w:r>
    </w:p>
    <w:p>
      <w:r>
        <w:rPr>
          <w:color w:val="555555"/>
          <w:sz w:val="18"/>
        </w:rPr>
        <w:t xml:space="preserve">Einsatzunfallverordnung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63c Absatz 2a in Verbindung mit Absatz 5 des Soldatenversorgungsgesetzes, von denen Absatz 2a durch Artikel 1 Nummer 16 Buchstabe a des Gesetzes vom 5. Dezember 2011 (BGBl. I S. 2458) eingefügt und Absatz 5 durch Artikel 1 Nummer 16 Buchstabe c desselben Gesetzes geändert worden ist, verordnet das Bundesministerium der Verteidigung im Einvernehmen mit dem Bundesministerium für Gesundheit und dem Bundesministerium für Arbeit und Soziales:</w:t>
      </w:r>
    </w:p>
    <w:p>
      <w:r>
        <w:rPr>
          <w:color w:val="555555"/>
          <w:sz w:val="17"/>
        </w:rPr>
        <w:t xml:space="preserve">Zitiervorschlag: Eingangsformel EinsatzUV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https://recht.nulegal.eu/gesetze/EinsatzUV/eingangsformel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