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EinlBehPostAnO</w:t>
      </w:r>
    </w:p>
    <w:p>
      <w:r>
        <w:rPr>
          <w:color w:val="555555"/>
          <w:sz w:val="18"/>
        </w:rPr>
        <w:t xml:space="preserve">Anordnung zur Bestimmung der Einleitungsbehörden bei der Bundesanstalt für Post und Telekommunikation Deutsche Bundespost, der Unfallkasse Post und Telekom sowie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sofortiger Wirkung in Kraft.</w:t>
      </w:r>
    </w:p>
    <w:p>
      <w:r>
        <w:rPr>
          <w:color w:val="555555"/>
          <w:sz w:val="17"/>
        </w:rPr>
        <w:t xml:space="preserve">Zitiervorschlag: II. EinlBehPostAnO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https://recht.nulegal.eu/gesetze/EinlBehPostAnO/ii.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