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I. EinlBehPostAnO</w:t>
      </w:r>
    </w:p>
    <w:p>
      <w:r>
        <w:rPr>
          <w:color w:val="555555"/>
          <w:sz w:val="18"/>
        </w:rPr>
        <w:t xml:space="preserve">Anordnung zur Bestimmung der Einleitungsbehörden bei der Bundesanstalt für Post und Telekommunikation Deutsche Bundespost, der Unfallkasse Post und Telekom sowie der Museumsstiftung Post und Telekommunikation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Einleitungsbehörden sind</w:t>
      </w:r>
    </w:p>
    <w:p>
      <w:pPr>
        <w:ind w:left="420"/>
      </w:pPr>
      <w:r>
        <w:t xml:space="preserve">1. bei der Bundesanstalt für Post und Telekommunikation Deutsche Bundespost für alle Beamten der Vorstand der Bundesanstalt,</w:t>
      </w:r>
    </w:p>
    <w:p>
      <w:pPr>
        <w:ind w:left="420"/>
      </w:pPr>
      <w:r>
        <w:t xml:space="preserve">2. bei der Unfallkasse Post und Telekom</w:t>
      </w:r>
    </w:p>
    <w:p>
      <w:pPr>
        <w:ind w:left="780"/>
      </w:pPr>
      <w:r>
        <w:t xml:space="preserve">a) für den Geschäftsführer und seinen Stellvertreter das Bundesministerium für Post und Telekommunikation,</w:t>
      </w:r>
    </w:p>
    <w:p>
      <w:pPr>
        <w:ind w:left="780"/>
      </w:pPr>
      <w:r>
        <w:t xml:space="preserve">b) für die übrigen Beamten der Geschäftsführer der Unfallkasse,</w:t>
      </w:r>
    </w:p>
    <w:p>
      <w:pPr>
        <w:ind w:left="420"/>
      </w:pPr>
      <w:r>
        <w:t xml:space="preserve">3. bei der Museumsstiftung Post und Telekommunikation</w:t>
      </w:r>
    </w:p>
    <w:p>
      <w:pPr>
        <w:ind w:left="780"/>
      </w:pPr>
      <w:r>
        <w:t xml:space="preserve">a) für den Kurator und seinen ständigen Vertreter das Bundesministerium für Post und Telekommunikation,</w:t>
      </w:r>
    </w:p>
    <w:p>
      <w:pPr>
        <w:ind w:left="780"/>
      </w:pPr>
      <w:r>
        <w:t xml:space="preserve">b) für die übrigen Beamten der Kurator der Museumsstiftung.</w:t>
      </w:r>
    </w:p>
    <w:p>
      <w:r>
        <w:rPr>
          <w:color w:val="555555"/>
          <w:sz w:val="17"/>
        </w:rPr>
        <w:t xml:space="preserve">Zitiervorschlag: I. EinlBehPostAnO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https://recht.nulegal.eu/gesetze/EinlBehPostAnO/i.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